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A710CB" w:rsidRDefault="00512B6C" w:rsidP="00A710CB">
      <w:pPr>
        <w:pStyle w:val="Default"/>
        <w:rPr>
          <w:b/>
        </w:rPr>
      </w:pPr>
      <w:r w:rsidRPr="00A710CB">
        <w:rPr>
          <w:b/>
        </w:rPr>
        <w:t xml:space="preserve">Problem </w:t>
      </w:r>
      <w:r w:rsidR="00EE4C1A" w:rsidRPr="00A710CB">
        <w:rPr>
          <w:b/>
        </w:rPr>
        <w:t>1.</w:t>
      </w:r>
      <w:r w:rsidR="00A710CB" w:rsidRPr="00A710CB">
        <w:rPr>
          <w:b/>
        </w:rPr>
        <w:t>8</w:t>
      </w:r>
    </w:p>
    <w:p w:rsidR="007B5AC1" w:rsidRPr="00A710CB" w:rsidRDefault="007B5AC1" w:rsidP="00A710CB">
      <w:pPr>
        <w:pStyle w:val="Default"/>
      </w:pPr>
    </w:p>
    <w:p w:rsidR="00A710CB" w:rsidRPr="00A710CB" w:rsidRDefault="00A710CB" w:rsidP="00A710CB">
      <w:pPr>
        <w:autoSpaceDE w:val="0"/>
        <w:autoSpaceDN w:val="0"/>
        <w:adjustRightInd w:val="0"/>
        <w:spacing w:after="0" w:line="180" w:lineRule="atLeast"/>
        <w:rPr>
          <w:rFonts w:ascii="STIX" w:hAnsi="STIX" w:cs="STIX"/>
          <w:color w:val="211D1E"/>
          <w:sz w:val="24"/>
          <w:szCs w:val="18"/>
        </w:rPr>
      </w:pPr>
      <w:r w:rsidRPr="00A710CB">
        <w:rPr>
          <w:rFonts w:ascii="STIX" w:hAnsi="STIX" w:cs="STIX"/>
          <w:color w:val="211D1E"/>
          <w:sz w:val="24"/>
          <w:szCs w:val="18"/>
        </w:rPr>
        <w:t>The amount of a uniformly distributed radioactive con</w:t>
      </w:r>
      <w:r w:rsidRPr="00A710CB">
        <w:rPr>
          <w:rFonts w:ascii="STIX" w:hAnsi="STIX" w:cs="STIX"/>
          <w:color w:val="211D1E"/>
          <w:sz w:val="24"/>
          <w:szCs w:val="18"/>
        </w:rPr>
        <w:softHyphen/>
        <w:t xml:space="preserve">taminant contained in a closed reactor is measured by its concentration </w:t>
      </w:r>
      <w:r w:rsidRPr="00A710CB">
        <w:rPr>
          <w:rFonts w:ascii="STIX" w:hAnsi="STIX" w:cs="STIX"/>
          <w:i/>
          <w:iCs/>
          <w:color w:val="211D1E"/>
          <w:sz w:val="24"/>
          <w:szCs w:val="18"/>
        </w:rPr>
        <w:t xml:space="preserve">c </w:t>
      </w:r>
      <w:r w:rsidRPr="00A710CB">
        <w:rPr>
          <w:rFonts w:ascii="STIX" w:hAnsi="STIX" w:cs="STIX"/>
          <w:color w:val="211D1E"/>
          <w:sz w:val="24"/>
          <w:szCs w:val="18"/>
        </w:rPr>
        <w:t xml:space="preserve">(Becquerel/liter or Bq/L). The contaminant decreases at a decay rate proportional to its concentration; that is </w:t>
      </w:r>
    </w:p>
    <w:p w:rsidR="00A710CB" w:rsidRPr="00A710CB" w:rsidRDefault="00A710CB" w:rsidP="00A710CB">
      <w:pPr>
        <w:autoSpaceDE w:val="0"/>
        <w:autoSpaceDN w:val="0"/>
        <w:adjustRightInd w:val="0"/>
        <w:spacing w:before="140" w:after="100" w:line="180" w:lineRule="atLeast"/>
        <w:ind w:left="240"/>
        <w:rPr>
          <w:rFonts w:ascii="STIX" w:hAnsi="STIX" w:cs="STIX"/>
          <w:color w:val="211D1E"/>
          <w:sz w:val="24"/>
          <w:szCs w:val="18"/>
        </w:rPr>
      </w:pPr>
      <w:r w:rsidRPr="00A710CB">
        <w:rPr>
          <w:rFonts w:ascii="STIX" w:hAnsi="STIX" w:cs="STIX"/>
          <w:color w:val="211D1E"/>
          <w:sz w:val="24"/>
          <w:szCs w:val="18"/>
        </w:rPr>
        <w:t>Decay rate = −</w:t>
      </w:r>
      <w:r w:rsidRPr="00A710CB">
        <w:rPr>
          <w:rFonts w:ascii="STIX" w:hAnsi="STIX" w:cs="STIX"/>
          <w:i/>
          <w:iCs/>
          <w:color w:val="211D1E"/>
          <w:sz w:val="24"/>
          <w:szCs w:val="18"/>
        </w:rPr>
        <w:t xml:space="preserve">kc </w:t>
      </w:r>
    </w:p>
    <w:p w:rsidR="00A710CB" w:rsidRDefault="00A710CB" w:rsidP="00A710CB">
      <w:pPr>
        <w:autoSpaceDE w:val="0"/>
        <w:autoSpaceDN w:val="0"/>
        <w:adjustRightInd w:val="0"/>
        <w:spacing w:after="0" w:line="180" w:lineRule="atLeast"/>
        <w:rPr>
          <w:rFonts w:ascii="STIX" w:hAnsi="STIX" w:cs="STIX"/>
          <w:color w:val="211D1E"/>
          <w:sz w:val="24"/>
          <w:szCs w:val="18"/>
        </w:rPr>
      </w:pPr>
      <w:r w:rsidRPr="00A710CB">
        <w:rPr>
          <w:rFonts w:ascii="STIX" w:hAnsi="STIX" w:cs="STIX"/>
          <w:color w:val="211D1E"/>
          <w:sz w:val="24"/>
          <w:szCs w:val="18"/>
        </w:rPr>
        <w:t xml:space="preserve">where </w:t>
      </w:r>
      <w:r w:rsidRPr="00A710CB">
        <w:rPr>
          <w:rFonts w:ascii="STIX" w:hAnsi="STIX" w:cs="STIX"/>
          <w:i/>
          <w:iCs/>
          <w:color w:val="211D1E"/>
          <w:sz w:val="24"/>
          <w:szCs w:val="18"/>
        </w:rPr>
        <w:t xml:space="preserve">k </w:t>
      </w:r>
      <w:r w:rsidRPr="00A710CB">
        <w:rPr>
          <w:rFonts w:ascii="STIX" w:hAnsi="STIX" w:cs="STIX"/>
          <w:color w:val="211D1E"/>
          <w:sz w:val="24"/>
          <w:szCs w:val="18"/>
        </w:rPr>
        <w:t>is a constant with units of day</w:t>
      </w:r>
      <w:r w:rsidRPr="00A710CB">
        <w:rPr>
          <w:rFonts w:ascii="STIX" w:hAnsi="STIX" w:cs="STIX"/>
          <w:color w:val="211D1E"/>
          <w:sz w:val="24"/>
        </w:rPr>
        <w:t>−1</w:t>
      </w:r>
      <w:r w:rsidRPr="00A710CB">
        <w:rPr>
          <w:rFonts w:ascii="STIX" w:hAnsi="STIX" w:cs="STIX"/>
          <w:color w:val="211D1E"/>
          <w:sz w:val="24"/>
          <w:szCs w:val="18"/>
        </w:rPr>
        <w:t>. Therefore, ac</w:t>
      </w:r>
      <w:r w:rsidRPr="00A710CB">
        <w:rPr>
          <w:rFonts w:ascii="STIX" w:hAnsi="STIX" w:cs="STIX"/>
          <w:color w:val="211D1E"/>
          <w:sz w:val="24"/>
          <w:szCs w:val="18"/>
        </w:rPr>
        <w:softHyphen/>
        <w:t xml:space="preserve">cording to Eq. (1.14), </w:t>
      </w:r>
    </w:p>
    <w:p w:rsidR="00A710CB" w:rsidRPr="00A710CB" w:rsidRDefault="00A710CB" w:rsidP="00A710CB">
      <w:pPr>
        <w:autoSpaceDE w:val="0"/>
        <w:autoSpaceDN w:val="0"/>
        <w:adjustRightInd w:val="0"/>
        <w:spacing w:after="0" w:line="180" w:lineRule="atLeast"/>
        <w:rPr>
          <w:rFonts w:ascii="STIX" w:hAnsi="STIX" w:cs="STIX"/>
          <w:color w:val="211D1E"/>
          <w:sz w:val="24"/>
          <w:szCs w:val="18"/>
        </w:rPr>
      </w:pPr>
      <w:r>
        <w:rPr>
          <w:rFonts w:ascii="STIX" w:hAnsi="STIX" w:cs="STIX"/>
          <w:color w:val="211D1E"/>
          <w:sz w:val="24"/>
          <w:szCs w:val="18"/>
        </w:rPr>
        <w:t xml:space="preserve">(Change = increases = decreases), </w:t>
      </w:r>
      <w:r w:rsidRPr="00A710CB">
        <w:rPr>
          <w:rFonts w:ascii="STIX" w:hAnsi="STIX" w:cs="STIX"/>
          <w:color w:val="211D1E"/>
          <w:sz w:val="24"/>
          <w:szCs w:val="18"/>
        </w:rPr>
        <w:t xml:space="preserve">a mass balance for the reactor can be written as </w:t>
      </w:r>
    </w:p>
    <w:p w:rsidR="00A710CB" w:rsidRPr="00A710CB" w:rsidRDefault="00A710CB" w:rsidP="00A710CB">
      <w:pPr>
        <w:autoSpaceDE w:val="0"/>
        <w:autoSpaceDN w:val="0"/>
        <w:adjustRightInd w:val="0"/>
        <w:spacing w:after="240" w:line="180" w:lineRule="atLeast"/>
        <w:ind w:left="220"/>
        <w:rPr>
          <w:rFonts w:ascii="STIX" w:hAnsi="STIX" w:cs="STIX"/>
          <w:color w:val="211D1E"/>
          <w:sz w:val="24"/>
          <w:szCs w:val="48"/>
        </w:rPr>
      </w:pPr>
      <w:r>
        <w:rPr>
          <w:rFonts w:ascii="STIX" w:hAnsi="STIX" w:cs="STIX"/>
          <w:i/>
          <w:iCs/>
          <w:color w:val="211D1E"/>
          <w:sz w:val="24"/>
          <w:szCs w:val="18"/>
        </w:rPr>
        <w:t xml:space="preserve"> </w:t>
      </w:r>
      <w:r w:rsidRPr="00A710CB">
        <w:rPr>
          <w:rFonts w:ascii="STIX" w:hAnsi="STIX" w:cs="STIX"/>
          <w:i/>
          <w:iCs/>
          <w:color w:val="211D1E"/>
          <w:position w:val="-92"/>
          <w:sz w:val="24"/>
          <w:szCs w:val="18"/>
        </w:rPr>
        <w:object w:dxaOrig="2380" w:dyaOrig="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19.25pt;height:87.75pt" o:ole="">
            <v:imagedata r:id="rId7" o:title=""/>
          </v:shape>
          <o:OLEObject Type="Embed" ProgID="Equation.DSMT4" ShapeID="_x0000_i1112" DrawAspect="Content" ObjectID="_1550906907" r:id="rId8"/>
        </w:object>
      </w:r>
      <w:r>
        <w:rPr>
          <w:rFonts w:ascii="STIX" w:hAnsi="STIX" w:cs="STIX"/>
          <w:i/>
          <w:iCs/>
          <w:color w:val="211D1E"/>
          <w:sz w:val="24"/>
          <w:szCs w:val="18"/>
        </w:rPr>
        <w:t xml:space="preserve"> </w:t>
      </w:r>
    </w:p>
    <w:p w:rsidR="00A710CB" w:rsidRPr="00A710CB" w:rsidRDefault="00A710CB" w:rsidP="00A710CB">
      <w:pPr>
        <w:autoSpaceDE w:val="0"/>
        <w:autoSpaceDN w:val="0"/>
        <w:adjustRightInd w:val="0"/>
        <w:spacing w:after="0" w:line="240" w:lineRule="auto"/>
        <w:rPr>
          <w:rFonts w:ascii="STIX" w:hAnsi="STIX" w:cs="STIX"/>
          <w:color w:val="211D1E"/>
          <w:sz w:val="24"/>
          <w:szCs w:val="18"/>
        </w:rPr>
      </w:pPr>
      <w:r w:rsidRPr="00A710CB">
        <w:rPr>
          <w:rFonts w:ascii="STIX" w:hAnsi="STIX" w:cs="STIX"/>
          <w:b/>
          <w:bCs/>
          <w:color w:val="211D1E"/>
          <w:sz w:val="24"/>
          <w:szCs w:val="18"/>
        </w:rPr>
        <w:t xml:space="preserve">(a) </w:t>
      </w:r>
      <w:r w:rsidRPr="00A710CB">
        <w:rPr>
          <w:rFonts w:ascii="STIX" w:hAnsi="STIX" w:cs="STIX"/>
          <w:color w:val="211D1E"/>
          <w:sz w:val="24"/>
          <w:szCs w:val="18"/>
        </w:rPr>
        <w:t xml:space="preserve">Use Euler’s method to solve this equation from </w:t>
      </w:r>
      <w:r w:rsidRPr="00A710CB">
        <w:rPr>
          <w:rFonts w:ascii="STIX" w:hAnsi="STIX" w:cs="STIX"/>
          <w:i/>
          <w:iCs/>
          <w:color w:val="211D1E"/>
          <w:sz w:val="24"/>
          <w:szCs w:val="18"/>
        </w:rPr>
        <w:t xml:space="preserve">t </w:t>
      </w:r>
      <w:r w:rsidRPr="00A710CB">
        <w:rPr>
          <w:rFonts w:ascii="STIX" w:hAnsi="STIX" w:cs="STIX"/>
          <w:color w:val="211D1E"/>
          <w:sz w:val="24"/>
          <w:szCs w:val="18"/>
        </w:rPr>
        <w:t xml:space="preserve">= 0 to 1 d with </w:t>
      </w:r>
      <w:r w:rsidRPr="00A710CB">
        <w:rPr>
          <w:rFonts w:ascii="STIX" w:hAnsi="STIX" w:cs="STIX"/>
          <w:i/>
          <w:iCs/>
          <w:color w:val="211D1E"/>
          <w:sz w:val="24"/>
          <w:szCs w:val="18"/>
        </w:rPr>
        <w:t xml:space="preserve">k </w:t>
      </w:r>
      <w:r w:rsidRPr="00A710CB">
        <w:rPr>
          <w:rFonts w:ascii="STIX" w:hAnsi="STIX" w:cs="STIX"/>
          <w:color w:val="211D1E"/>
          <w:sz w:val="24"/>
          <w:szCs w:val="18"/>
        </w:rPr>
        <w:t>= 0.175 d</w:t>
      </w:r>
      <w:r w:rsidRPr="00A710CB">
        <w:rPr>
          <w:rFonts w:ascii="STIX" w:hAnsi="STIX" w:cs="STIX"/>
          <w:color w:val="211D1E"/>
          <w:sz w:val="32"/>
          <w:vertAlign w:val="superscript"/>
        </w:rPr>
        <w:t>–1</w:t>
      </w:r>
      <w:r w:rsidRPr="00A710CB">
        <w:rPr>
          <w:rFonts w:ascii="STIX" w:hAnsi="STIX" w:cs="STIX"/>
          <w:color w:val="211D1E"/>
          <w:sz w:val="24"/>
          <w:szCs w:val="18"/>
        </w:rPr>
        <w:t>. Employ a step size of Δ</w:t>
      </w:r>
      <w:r w:rsidRPr="00A710CB">
        <w:rPr>
          <w:rFonts w:ascii="STIX" w:hAnsi="STIX" w:cs="STIX"/>
          <w:i/>
          <w:iCs/>
          <w:color w:val="211D1E"/>
          <w:sz w:val="24"/>
          <w:szCs w:val="18"/>
        </w:rPr>
        <w:t xml:space="preserve">t </w:t>
      </w:r>
      <w:r w:rsidRPr="00A710CB">
        <w:rPr>
          <w:rFonts w:ascii="STIX" w:hAnsi="STIX" w:cs="STIX"/>
          <w:color w:val="211D1E"/>
          <w:sz w:val="24"/>
          <w:szCs w:val="18"/>
        </w:rPr>
        <w:t xml:space="preserve">= 0.1 d. The concentration at </w:t>
      </w:r>
      <w:r w:rsidRPr="00A710CB">
        <w:rPr>
          <w:rFonts w:ascii="STIX" w:hAnsi="STIX" w:cs="STIX"/>
          <w:i/>
          <w:iCs/>
          <w:color w:val="211D1E"/>
          <w:sz w:val="24"/>
          <w:szCs w:val="18"/>
        </w:rPr>
        <w:t xml:space="preserve">t </w:t>
      </w:r>
      <w:r w:rsidRPr="00A710CB">
        <w:rPr>
          <w:rFonts w:ascii="STIX" w:hAnsi="STIX" w:cs="STIX"/>
          <w:color w:val="211D1E"/>
          <w:sz w:val="24"/>
          <w:szCs w:val="18"/>
        </w:rPr>
        <w:t xml:space="preserve">= 0 is 100 Bq/L. </w:t>
      </w:r>
    </w:p>
    <w:p w:rsidR="00A710CB" w:rsidRPr="00A710CB" w:rsidRDefault="00A710CB" w:rsidP="00A710CB">
      <w:pPr>
        <w:autoSpaceDE w:val="0"/>
        <w:autoSpaceDN w:val="0"/>
        <w:adjustRightInd w:val="0"/>
        <w:spacing w:after="0" w:line="240" w:lineRule="auto"/>
        <w:rPr>
          <w:rFonts w:ascii="STIX" w:hAnsi="STIX" w:cs="STIX"/>
          <w:color w:val="211D1E"/>
          <w:sz w:val="24"/>
          <w:szCs w:val="18"/>
        </w:rPr>
      </w:pPr>
      <w:r w:rsidRPr="00A710CB">
        <w:rPr>
          <w:rFonts w:ascii="STIX" w:hAnsi="STIX" w:cs="STIX"/>
          <w:b/>
          <w:bCs/>
          <w:color w:val="211D1E"/>
          <w:sz w:val="24"/>
          <w:szCs w:val="18"/>
        </w:rPr>
        <w:t xml:space="preserve">(b) </w:t>
      </w:r>
      <w:r w:rsidRPr="00A710CB">
        <w:rPr>
          <w:rFonts w:ascii="STIX" w:hAnsi="STIX" w:cs="STIX"/>
          <w:color w:val="211D1E"/>
          <w:sz w:val="24"/>
          <w:szCs w:val="18"/>
        </w:rPr>
        <w:t xml:space="preserve">Plot the solution on a semilog graph (i.e., ln </w:t>
      </w:r>
      <w:r w:rsidRPr="00A710CB">
        <w:rPr>
          <w:rFonts w:ascii="STIX" w:hAnsi="STIX" w:cs="STIX"/>
          <w:i/>
          <w:iCs/>
          <w:color w:val="211D1E"/>
          <w:sz w:val="24"/>
          <w:szCs w:val="18"/>
        </w:rPr>
        <w:t xml:space="preserve">c </w:t>
      </w:r>
      <w:r w:rsidRPr="00A710CB">
        <w:rPr>
          <w:rFonts w:ascii="STIX" w:hAnsi="STIX" w:cs="STIX"/>
          <w:color w:val="211D1E"/>
          <w:sz w:val="24"/>
          <w:szCs w:val="18"/>
        </w:rPr>
        <w:t xml:space="preserve">versus </w:t>
      </w:r>
      <w:r w:rsidRPr="00A710CB">
        <w:rPr>
          <w:rFonts w:ascii="STIX" w:hAnsi="STIX" w:cs="STIX"/>
          <w:i/>
          <w:iCs/>
          <w:color w:val="211D1E"/>
          <w:sz w:val="24"/>
          <w:szCs w:val="18"/>
        </w:rPr>
        <w:t>t</w:t>
      </w:r>
      <w:r w:rsidRPr="00A710CB">
        <w:rPr>
          <w:rFonts w:ascii="STIX" w:hAnsi="STIX" w:cs="STIX"/>
          <w:color w:val="211D1E"/>
          <w:sz w:val="24"/>
          <w:szCs w:val="18"/>
        </w:rPr>
        <w:t xml:space="preserve">) and determine the slope. Interpret your results. </w:t>
      </w:r>
    </w:p>
    <w:p w:rsidR="00013F83" w:rsidRPr="00A710CB" w:rsidRDefault="00013F83" w:rsidP="00A710CB">
      <w:pPr>
        <w:pStyle w:val="Default"/>
        <w:rPr>
          <w:rFonts w:eastAsia="Times New Roman"/>
          <w:lang w:bidi="en-US"/>
        </w:rPr>
      </w:pPr>
    </w:p>
    <w:sectPr w:rsidR="00013F83" w:rsidRPr="00A710CB"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2017-03-13T16:41:00Z</dcterms:created>
  <dcterms:modified xsi:type="dcterms:W3CDTF">2017-03-13T16:41:00Z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