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D113FD" w:rsidRDefault="00512B6C" w:rsidP="00D113FD">
      <w:pPr>
        <w:pStyle w:val="Default"/>
        <w:rPr>
          <w:b/>
        </w:rPr>
      </w:pPr>
      <w:r w:rsidRPr="00D113FD">
        <w:rPr>
          <w:b/>
        </w:rPr>
        <w:t xml:space="preserve">Problem </w:t>
      </w:r>
      <w:r w:rsidR="00EE4C1A" w:rsidRPr="00D113FD">
        <w:rPr>
          <w:b/>
        </w:rPr>
        <w:t>1.</w:t>
      </w:r>
      <w:r w:rsidR="00D113FD" w:rsidRPr="00D113FD">
        <w:rPr>
          <w:b/>
        </w:rPr>
        <w:t>20</w:t>
      </w:r>
    </w:p>
    <w:p w:rsidR="00D33B67" w:rsidRPr="00D113FD" w:rsidRDefault="00D33B67" w:rsidP="00D113FD">
      <w:pPr>
        <w:pStyle w:val="Default"/>
      </w:pPr>
      <w:r w:rsidRPr="00D113FD">
        <w:rPr>
          <w:b/>
        </w:rPr>
        <w:t xml:space="preserve"> </w:t>
      </w:r>
    </w:p>
    <w:p w:rsidR="00D113FD" w:rsidRPr="00D113FD" w:rsidRDefault="00D113FD" w:rsidP="00D113FD">
      <w:pPr>
        <w:autoSpaceDE w:val="0"/>
        <w:autoSpaceDN w:val="0"/>
        <w:adjustRightInd w:val="0"/>
        <w:spacing w:after="0" w:line="240" w:lineRule="auto"/>
        <w:rPr>
          <w:rFonts w:ascii="STIX" w:hAnsi="STIX" w:cs="STIX"/>
          <w:color w:val="211D1E"/>
          <w:sz w:val="24"/>
          <w:szCs w:val="18"/>
        </w:rPr>
      </w:pPr>
      <w:r w:rsidRPr="00D113FD">
        <w:rPr>
          <w:rFonts w:ascii="STIX" w:hAnsi="STIX" w:cs="STIX"/>
          <w:color w:val="211D1E"/>
          <w:sz w:val="24"/>
          <w:szCs w:val="18"/>
        </w:rPr>
        <w:t>In addition to the downward force of gravity (weight) and drag, an object falling through a fluid is also subject to a buoyancy force which is proportional to the displaced volume (</w:t>
      </w:r>
      <w:r w:rsidRPr="00D113FD">
        <w:rPr>
          <w:rFonts w:ascii="STIX" w:hAnsi="STIX" w:cs="STIX"/>
          <w:i/>
          <w:iCs/>
          <w:color w:val="211D1E"/>
          <w:sz w:val="24"/>
          <w:szCs w:val="18"/>
        </w:rPr>
        <w:t>Archimedes’ principle</w:t>
      </w:r>
      <w:r w:rsidRPr="00D113FD">
        <w:rPr>
          <w:rFonts w:ascii="STIX" w:hAnsi="STIX" w:cs="STIX"/>
          <w:color w:val="211D1E"/>
          <w:sz w:val="24"/>
          <w:szCs w:val="18"/>
        </w:rPr>
        <w:t xml:space="preserve">). For example, for a sphere with diameter </w:t>
      </w:r>
      <w:r w:rsidRPr="00D113FD">
        <w:rPr>
          <w:rFonts w:ascii="STIX" w:hAnsi="STIX" w:cs="STIX"/>
          <w:i/>
          <w:iCs/>
          <w:color w:val="211D1E"/>
          <w:sz w:val="24"/>
          <w:szCs w:val="18"/>
        </w:rPr>
        <w:t xml:space="preserve">d </w:t>
      </w:r>
      <w:r w:rsidRPr="00D113FD">
        <w:rPr>
          <w:rFonts w:ascii="STIX" w:hAnsi="STIX" w:cs="STIX"/>
          <w:color w:val="211D1E"/>
          <w:sz w:val="24"/>
          <w:szCs w:val="18"/>
        </w:rPr>
        <w:t xml:space="preserve">(m), the sphere’s volume is </w:t>
      </w:r>
      <w:r w:rsidRPr="00D113FD">
        <w:rPr>
          <w:rFonts w:ascii="STIX" w:hAnsi="STIX" w:cs="STIX"/>
          <w:i/>
          <w:iCs/>
          <w:color w:val="211D1E"/>
          <w:sz w:val="24"/>
          <w:szCs w:val="18"/>
        </w:rPr>
        <w:t xml:space="preserve">V </w:t>
      </w:r>
      <w:r w:rsidRPr="00D113FD">
        <w:rPr>
          <w:rFonts w:ascii="STIX" w:hAnsi="STIX" w:cs="STIX"/>
          <w:color w:val="211D1E"/>
          <w:sz w:val="24"/>
          <w:szCs w:val="18"/>
        </w:rPr>
        <w:t xml:space="preserve">= π </w:t>
      </w:r>
      <w:r w:rsidRPr="00D113FD">
        <w:rPr>
          <w:rFonts w:ascii="STIX" w:hAnsi="STIX" w:cs="STIX"/>
          <w:i/>
          <w:iCs/>
          <w:color w:val="211D1E"/>
          <w:sz w:val="24"/>
          <w:szCs w:val="18"/>
        </w:rPr>
        <w:t>d</w:t>
      </w:r>
      <w:r w:rsidRPr="00D113FD">
        <w:rPr>
          <w:rFonts w:ascii="STIX" w:hAnsi="STIX" w:cs="STIX"/>
          <w:color w:val="211D1E"/>
          <w:sz w:val="32"/>
          <w:vertAlign w:val="superscript"/>
        </w:rPr>
        <w:t>3</w:t>
      </w:r>
      <w:r w:rsidRPr="00D113FD">
        <w:rPr>
          <w:rFonts w:ascii="STIX" w:hAnsi="STIX" w:cs="STIX"/>
          <w:color w:val="211D1E"/>
          <w:sz w:val="24"/>
          <w:szCs w:val="18"/>
        </w:rPr>
        <w:t xml:space="preserve">/6, and its projected area is </w:t>
      </w:r>
      <w:r w:rsidRPr="00D113FD">
        <w:rPr>
          <w:rFonts w:ascii="STIX" w:hAnsi="STIX" w:cs="STIX"/>
          <w:i/>
          <w:iCs/>
          <w:color w:val="211D1E"/>
          <w:sz w:val="24"/>
          <w:szCs w:val="18"/>
        </w:rPr>
        <w:t xml:space="preserve">A </w:t>
      </w:r>
      <w:r w:rsidRPr="00D113FD">
        <w:rPr>
          <w:rFonts w:ascii="STIX" w:hAnsi="STIX" w:cs="STIX"/>
          <w:color w:val="211D1E"/>
          <w:sz w:val="24"/>
          <w:szCs w:val="18"/>
        </w:rPr>
        <w:t>= π</w:t>
      </w:r>
      <w:r w:rsidRPr="00D113FD">
        <w:rPr>
          <w:rFonts w:ascii="STIX" w:hAnsi="STIX" w:cs="STIX"/>
          <w:i/>
          <w:iCs/>
          <w:color w:val="211D1E"/>
          <w:sz w:val="24"/>
          <w:szCs w:val="18"/>
        </w:rPr>
        <w:t>d</w:t>
      </w:r>
      <w:r w:rsidRPr="00D113FD">
        <w:rPr>
          <w:rFonts w:ascii="STIX" w:hAnsi="STIX" w:cs="STIX"/>
          <w:color w:val="211D1E"/>
          <w:sz w:val="32"/>
          <w:vertAlign w:val="superscript"/>
        </w:rPr>
        <w:t>2</w:t>
      </w:r>
      <w:r w:rsidRPr="00D113FD">
        <w:rPr>
          <w:rFonts w:ascii="STIX" w:hAnsi="STIX" w:cs="STIX"/>
          <w:color w:val="211D1E"/>
          <w:sz w:val="24"/>
          <w:szCs w:val="18"/>
        </w:rPr>
        <w:t xml:space="preserve">/4. The buoyancy force can then be computed as </w:t>
      </w:r>
      <w:r w:rsidRPr="00D113FD">
        <w:rPr>
          <w:rFonts w:ascii="STIX" w:hAnsi="STIX" w:cs="STIX"/>
          <w:i/>
          <w:iCs/>
          <w:color w:val="211D1E"/>
          <w:sz w:val="24"/>
          <w:szCs w:val="18"/>
        </w:rPr>
        <w:t>F</w:t>
      </w:r>
      <w:r w:rsidRPr="00D113FD">
        <w:rPr>
          <w:rFonts w:ascii="STIX" w:hAnsi="STIX" w:cs="STIX"/>
          <w:i/>
          <w:iCs/>
          <w:color w:val="211D1E"/>
          <w:sz w:val="32"/>
          <w:vertAlign w:val="subscript"/>
        </w:rPr>
        <w:t>b</w:t>
      </w:r>
      <w:r w:rsidRPr="00D113FD">
        <w:rPr>
          <w:rFonts w:ascii="STIX" w:hAnsi="STIX" w:cs="STIX"/>
          <w:i/>
          <w:iCs/>
          <w:color w:val="211D1E"/>
          <w:sz w:val="24"/>
        </w:rPr>
        <w:t xml:space="preserve"> </w:t>
      </w:r>
      <w:r w:rsidRPr="00D113FD">
        <w:rPr>
          <w:rFonts w:ascii="STIX" w:hAnsi="STIX" w:cs="STIX"/>
          <w:color w:val="211D1E"/>
          <w:sz w:val="24"/>
          <w:szCs w:val="18"/>
        </w:rPr>
        <w:t>= −</w:t>
      </w:r>
      <w:r w:rsidRPr="00D113FD">
        <w:rPr>
          <w:rFonts w:ascii="STIX" w:hAnsi="STIX" w:cs="STIX"/>
          <w:i/>
          <w:iCs/>
          <w:color w:val="211D1E"/>
          <w:sz w:val="24"/>
          <w:szCs w:val="18"/>
        </w:rPr>
        <w:t>ρVg</w:t>
      </w:r>
      <w:r w:rsidRPr="00D113FD">
        <w:rPr>
          <w:rFonts w:ascii="STIX" w:hAnsi="STIX" w:cs="STIX"/>
          <w:color w:val="211D1E"/>
          <w:sz w:val="24"/>
          <w:szCs w:val="18"/>
        </w:rPr>
        <w:t xml:space="preserve">. We neglected buoyancy in our derivation of Eq. (1.8) because it is relatively small for an object like a bungee jumper moving through air. However, for a more dense fluid like water, it becomes more prominent. </w:t>
      </w:r>
    </w:p>
    <w:p w:rsidR="001F5D63" w:rsidRDefault="001F5D63" w:rsidP="00D113FD">
      <w:pPr>
        <w:autoSpaceDE w:val="0"/>
        <w:autoSpaceDN w:val="0"/>
        <w:adjustRightInd w:val="0"/>
        <w:spacing w:after="0" w:line="240" w:lineRule="auto"/>
        <w:rPr>
          <w:rFonts w:ascii="STIX" w:hAnsi="STIX" w:cs="STIX"/>
          <w:b/>
          <w:bCs/>
          <w:color w:val="211D1E"/>
          <w:sz w:val="24"/>
          <w:szCs w:val="18"/>
        </w:rPr>
      </w:pPr>
    </w:p>
    <w:p w:rsidR="00D113FD" w:rsidRPr="00D113FD" w:rsidRDefault="00D113FD" w:rsidP="00D113FD">
      <w:pPr>
        <w:autoSpaceDE w:val="0"/>
        <w:autoSpaceDN w:val="0"/>
        <w:adjustRightInd w:val="0"/>
        <w:spacing w:after="0" w:line="240" w:lineRule="auto"/>
        <w:rPr>
          <w:rFonts w:ascii="STIX" w:hAnsi="STIX" w:cs="STIX"/>
          <w:color w:val="211D1E"/>
          <w:sz w:val="24"/>
          <w:szCs w:val="18"/>
        </w:rPr>
      </w:pPr>
      <w:r w:rsidRPr="00D113FD">
        <w:rPr>
          <w:rFonts w:ascii="STIX" w:hAnsi="STIX" w:cs="STIX"/>
          <w:b/>
          <w:bCs/>
          <w:color w:val="211D1E"/>
          <w:sz w:val="24"/>
          <w:szCs w:val="18"/>
        </w:rPr>
        <w:t xml:space="preserve">(a) </w:t>
      </w:r>
      <w:r w:rsidRPr="00D113FD">
        <w:rPr>
          <w:rFonts w:ascii="STIX" w:hAnsi="STIX" w:cs="STIX"/>
          <w:color w:val="211D1E"/>
          <w:sz w:val="24"/>
          <w:szCs w:val="18"/>
        </w:rPr>
        <w:t xml:space="preserve">Derive a differential equation in the same fashion as Eq. (1.8), but include the buoyancy force and represent the drag force as described in Sec. 1.4. </w:t>
      </w:r>
    </w:p>
    <w:p w:rsidR="00D113FD" w:rsidRPr="00D113FD" w:rsidRDefault="00D113FD" w:rsidP="00D113FD">
      <w:pPr>
        <w:autoSpaceDE w:val="0"/>
        <w:autoSpaceDN w:val="0"/>
        <w:adjustRightInd w:val="0"/>
        <w:spacing w:after="0" w:line="240" w:lineRule="auto"/>
        <w:rPr>
          <w:rFonts w:ascii="STIX" w:hAnsi="STIX" w:cs="STIX"/>
          <w:color w:val="211D1E"/>
          <w:sz w:val="24"/>
          <w:szCs w:val="18"/>
        </w:rPr>
      </w:pPr>
      <w:r w:rsidRPr="00D113FD">
        <w:rPr>
          <w:rFonts w:ascii="STIX" w:hAnsi="STIX" w:cs="STIX"/>
          <w:b/>
          <w:bCs/>
          <w:color w:val="211D1E"/>
          <w:sz w:val="24"/>
          <w:szCs w:val="18"/>
        </w:rPr>
        <w:t xml:space="preserve">(b) </w:t>
      </w:r>
      <w:r w:rsidRPr="00D113FD">
        <w:rPr>
          <w:rFonts w:ascii="STIX" w:hAnsi="STIX" w:cs="STIX"/>
          <w:color w:val="211D1E"/>
          <w:sz w:val="24"/>
          <w:szCs w:val="18"/>
        </w:rPr>
        <w:t xml:space="preserve">Rewrite the differential equation from </w:t>
      </w:r>
      <w:r w:rsidRPr="00D113FD">
        <w:rPr>
          <w:rFonts w:ascii="STIX" w:hAnsi="STIX" w:cs="STIX"/>
          <w:b/>
          <w:bCs/>
          <w:color w:val="211D1E"/>
          <w:sz w:val="24"/>
          <w:szCs w:val="18"/>
        </w:rPr>
        <w:t xml:space="preserve">(a) </w:t>
      </w:r>
      <w:r w:rsidRPr="00D113FD">
        <w:rPr>
          <w:rFonts w:ascii="STIX" w:hAnsi="STIX" w:cs="STIX"/>
          <w:color w:val="211D1E"/>
          <w:sz w:val="24"/>
          <w:szCs w:val="18"/>
        </w:rPr>
        <w:t xml:space="preserve">for the special case of a sphere. </w:t>
      </w:r>
    </w:p>
    <w:p w:rsidR="00D113FD" w:rsidRPr="00D113FD" w:rsidRDefault="00D113FD" w:rsidP="00D113FD">
      <w:pPr>
        <w:autoSpaceDE w:val="0"/>
        <w:autoSpaceDN w:val="0"/>
        <w:adjustRightInd w:val="0"/>
        <w:spacing w:after="0" w:line="240" w:lineRule="auto"/>
        <w:rPr>
          <w:rFonts w:ascii="STIX" w:hAnsi="STIX" w:cs="STIX"/>
          <w:color w:val="211D1E"/>
          <w:sz w:val="24"/>
          <w:szCs w:val="18"/>
        </w:rPr>
      </w:pPr>
      <w:r w:rsidRPr="00D113FD">
        <w:rPr>
          <w:rFonts w:ascii="STIX" w:hAnsi="STIX" w:cs="STIX"/>
          <w:b/>
          <w:bCs/>
          <w:color w:val="211D1E"/>
          <w:sz w:val="24"/>
          <w:szCs w:val="18"/>
        </w:rPr>
        <w:t xml:space="preserve">(c) </w:t>
      </w:r>
      <w:r w:rsidRPr="00D113FD">
        <w:rPr>
          <w:rFonts w:ascii="STIX" w:hAnsi="STIX" w:cs="STIX"/>
          <w:color w:val="211D1E"/>
          <w:sz w:val="24"/>
          <w:szCs w:val="18"/>
        </w:rPr>
        <w:t xml:space="preserve">Use the equation developed in </w:t>
      </w:r>
      <w:r w:rsidRPr="00D113FD">
        <w:rPr>
          <w:rFonts w:ascii="STIX" w:hAnsi="STIX" w:cs="STIX"/>
          <w:b/>
          <w:bCs/>
          <w:color w:val="211D1E"/>
          <w:sz w:val="24"/>
          <w:szCs w:val="18"/>
        </w:rPr>
        <w:t xml:space="preserve">(b) </w:t>
      </w:r>
      <w:r w:rsidRPr="00D113FD">
        <w:rPr>
          <w:rFonts w:ascii="STIX" w:hAnsi="STIX" w:cs="STIX"/>
          <w:color w:val="211D1E"/>
          <w:sz w:val="24"/>
          <w:szCs w:val="18"/>
        </w:rPr>
        <w:t>to compute the terminal velocity (i.e., for the steady-state case). Use the follow</w:t>
      </w:r>
      <w:r w:rsidRPr="00D113FD">
        <w:rPr>
          <w:rFonts w:ascii="STIX" w:hAnsi="STIX" w:cs="STIX"/>
          <w:color w:val="211D1E"/>
          <w:sz w:val="24"/>
          <w:szCs w:val="18"/>
        </w:rPr>
        <w:softHyphen/>
        <w:t>ing parameter values for a sphere falling through water: sphere diameter = 1 cm, sphere density = 2700 kg/m</w:t>
      </w:r>
      <w:r w:rsidRPr="001F5D63">
        <w:rPr>
          <w:rFonts w:ascii="STIX" w:hAnsi="STIX" w:cs="STIX"/>
          <w:color w:val="211D1E"/>
          <w:sz w:val="32"/>
          <w:vertAlign w:val="superscript"/>
        </w:rPr>
        <w:t>3</w:t>
      </w:r>
      <w:r w:rsidRPr="00D113FD">
        <w:rPr>
          <w:rFonts w:ascii="STIX" w:hAnsi="STIX" w:cs="STIX"/>
          <w:color w:val="211D1E"/>
          <w:sz w:val="24"/>
          <w:szCs w:val="18"/>
        </w:rPr>
        <w:t>, water density = 1000 kg/m</w:t>
      </w:r>
      <w:r w:rsidRPr="001F5D63">
        <w:rPr>
          <w:rFonts w:ascii="STIX" w:hAnsi="STIX" w:cs="STIX"/>
          <w:color w:val="211D1E"/>
          <w:sz w:val="32"/>
          <w:vertAlign w:val="superscript"/>
        </w:rPr>
        <w:t>3</w:t>
      </w:r>
      <w:r w:rsidRPr="00D113FD">
        <w:rPr>
          <w:rFonts w:ascii="STIX" w:hAnsi="STIX" w:cs="STIX"/>
          <w:color w:val="211D1E"/>
          <w:sz w:val="24"/>
          <w:szCs w:val="18"/>
        </w:rPr>
        <w:t xml:space="preserve">, and </w:t>
      </w:r>
      <w:r w:rsidRPr="00D113FD">
        <w:rPr>
          <w:rFonts w:ascii="STIX" w:hAnsi="STIX" w:cs="STIX"/>
          <w:i/>
          <w:iCs/>
          <w:color w:val="211D1E"/>
          <w:sz w:val="24"/>
          <w:szCs w:val="18"/>
        </w:rPr>
        <w:t>C</w:t>
      </w:r>
      <w:r w:rsidRPr="001F5D63">
        <w:rPr>
          <w:rFonts w:ascii="STIX" w:hAnsi="STIX" w:cs="STIX"/>
          <w:i/>
          <w:iCs/>
          <w:color w:val="211D1E"/>
          <w:sz w:val="32"/>
          <w:vertAlign w:val="subscript"/>
        </w:rPr>
        <w:t>d</w:t>
      </w:r>
      <w:r w:rsidRPr="00D113FD">
        <w:rPr>
          <w:rFonts w:ascii="STIX" w:hAnsi="STIX" w:cs="STIX"/>
          <w:i/>
          <w:iCs/>
          <w:color w:val="211D1E"/>
          <w:sz w:val="24"/>
        </w:rPr>
        <w:t xml:space="preserve"> </w:t>
      </w:r>
      <w:r w:rsidRPr="00D113FD">
        <w:rPr>
          <w:rFonts w:ascii="STIX" w:hAnsi="STIX" w:cs="STIX"/>
          <w:color w:val="211D1E"/>
          <w:sz w:val="24"/>
          <w:szCs w:val="18"/>
        </w:rPr>
        <w:t xml:space="preserve">= 0.47. </w:t>
      </w:r>
    </w:p>
    <w:p w:rsidR="00D113FD" w:rsidRPr="00D113FD" w:rsidRDefault="00D113FD" w:rsidP="00D113FD">
      <w:pPr>
        <w:autoSpaceDE w:val="0"/>
        <w:autoSpaceDN w:val="0"/>
        <w:adjustRightInd w:val="0"/>
        <w:spacing w:after="0" w:line="240" w:lineRule="auto"/>
        <w:rPr>
          <w:rFonts w:ascii="STIX" w:hAnsi="STIX" w:cs="STIX"/>
          <w:color w:val="211D1E"/>
          <w:sz w:val="24"/>
          <w:szCs w:val="18"/>
        </w:rPr>
      </w:pPr>
      <w:r w:rsidRPr="00D113FD">
        <w:rPr>
          <w:rFonts w:ascii="STIX" w:hAnsi="STIX" w:cs="STIX"/>
          <w:b/>
          <w:bCs/>
          <w:color w:val="211D1E"/>
          <w:sz w:val="24"/>
          <w:szCs w:val="18"/>
        </w:rPr>
        <w:t xml:space="preserve">(d) </w:t>
      </w:r>
      <w:r w:rsidRPr="00D113FD">
        <w:rPr>
          <w:rFonts w:ascii="STIX" w:hAnsi="STIX" w:cs="STIX"/>
          <w:color w:val="211D1E"/>
          <w:sz w:val="24"/>
          <w:szCs w:val="18"/>
        </w:rPr>
        <w:t>Use Euler’s method with a step size of Δ</w:t>
      </w:r>
      <w:r w:rsidRPr="00D113FD">
        <w:rPr>
          <w:rFonts w:ascii="STIX" w:hAnsi="STIX" w:cs="STIX"/>
          <w:i/>
          <w:iCs/>
          <w:color w:val="211D1E"/>
          <w:sz w:val="24"/>
          <w:szCs w:val="18"/>
        </w:rPr>
        <w:t xml:space="preserve">t </w:t>
      </w:r>
      <w:r w:rsidRPr="00D113FD">
        <w:rPr>
          <w:rFonts w:ascii="STIX" w:hAnsi="STIX" w:cs="STIX"/>
          <w:color w:val="211D1E"/>
          <w:sz w:val="24"/>
          <w:szCs w:val="18"/>
        </w:rPr>
        <w:t xml:space="preserve">= 0.03125 s to numerically solve for the velocity from </w:t>
      </w:r>
      <w:r w:rsidRPr="00D113FD">
        <w:rPr>
          <w:rFonts w:ascii="STIX" w:hAnsi="STIX" w:cs="STIX"/>
          <w:i/>
          <w:iCs/>
          <w:color w:val="211D1E"/>
          <w:sz w:val="24"/>
          <w:szCs w:val="18"/>
        </w:rPr>
        <w:t>t</w:t>
      </w:r>
      <w:r w:rsidR="001F5D63">
        <w:rPr>
          <w:rFonts w:ascii="STIX" w:hAnsi="STIX" w:cs="STIX"/>
          <w:i/>
          <w:iCs/>
          <w:color w:val="211D1E"/>
          <w:sz w:val="24"/>
          <w:szCs w:val="18"/>
        </w:rPr>
        <w:t> </w:t>
      </w:r>
      <w:r w:rsidRPr="00D113FD">
        <w:rPr>
          <w:rFonts w:ascii="STIX" w:hAnsi="STIX" w:cs="STIX"/>
          <w:color w:val="211D1E"/>
          <w:sz w:val="24"/>
          <w:szCs w:val="18"/>
        </w:rPr>
        <w:t xml:space="preserve">= 0 to 0.25 s with an initial velocity of zero. </w:t>
      </w:r>
    </w:p>
    <w:p w:rsidR="00D313CE" w:rsidRDefault="00D313CE" w:rsidP="00D113FD">
      <w:pPr>
        <w:pStyle w:val="Pa57"/>
        <w:spacing w:line="240" w:lineRule="auto"/>
        <w:rPr>
          <w:rFonts w:eastAsia="Times New Roman"/>
          <w:lang w:bidi="en-US"/>
        </w:rPr>
      </w:pPr>
    </w:p>
    <w:p w:rsidR="001F5D63" w:rsidRDefault="001F5D63" w:rsidP="001F5D63">
      <w:pPr>
        <w:pStyle w:val="Default"/>
        <w:rPr>
          <w:color w:val="211D1E"/>
          <w:szCs w:val="18"/>
        </w:rPr>
      </w:pPr>
      <w:r>
        <w:rPr>
          <w:color w:val="211D1E"/>
          <w:szCs w:val="18"/>
        </w:rPr>
        <w:t>Eq. 1.8:</w:t>
      </w:r>
    </w:p>
    <w:p w:rsidR="001F5D63" w:rsidRDefault="001F5D63" w:rsidP="001F5D63">
      <w:pPr>
        <w:pStyle w:val="Default"/>
        <w:rPr>
          <w:color w:val="211D1E"/>
          <w:szCs w:val="18"/>
        </w:rPr>
      </w:pPr>
      <w:r>
        <w:rPr>
          <w:color w:val="211D1E"/>
          <w:position w:val="-24"/>
          <w:szCs w:val="18"/>
        </w:rPr>
        <w:t xml:space="preserve">                                                                    </w:t>
      </w:r>
      <w:r w:rsidRPr="00013F83">
        <w:rPr>
          <w:color w:val="211D1E"/>
          <w:position w:val="-24"/>
          <w:szCs w:val="18"/>
        </w:rPr>
        <w:object w:dxaOrig="14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4" type="#_x0000_t75" style="width:74.25pt;height:33pt" o:ole="">
            <v:imagedata r:id="rId7" o:title=""/>
          </v:shape>
          <o:OLEObject Type="Embed" ProgID="Equation.DSMT4" ShapeID="_x0000_i1254" DrawAspect="Content" ObjectID="_1550910654" r:id="rId8"/>
        </w:object>
      </w:r>
      <w:r>
        <w:rPr>
          <w:color w:val="211D1E"/>
          <w:szCs w:val="18"/>
        </w:rPr>
        <w:t xml:space="preserve"> </w:t>
      </w:r>
    </w:p>
    <w:p w:rsidR="001F5D63" w:rsidRPr="001F5D63" w:rsidRDefault="001F5D63" w:rsidP="001F5D63">
      <w:pPr>
        <w:pStyle w:val="Default"/>
        <w:rPr>
          <w:lang w:bidi="en-US"/>
        </w:rPr>
      </w:pPr>
    </w:p>
    <w:sectPr w:rsidR="001F5D63" w:rsidRPr="001F5D63"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205</Words>
  <Characters>1172</Characters>
  <Application>Microsoft Office Word</Application>
  <DocSecurity>0</DocSecurity>
  <Lines>9</Lines>
  <Paragraphs>2</Paragraphs>
  <ScaleCrop>false</ScaleCrop>
  <Company/>
  <LinksUpToDate>false</LinksUpToDate>
  <CharactersWithSpaces>1375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2017-03-13T17:41:00Z</dcterms:created>
  <dcterms:modified xsi:type="dcterms:W3CDTF">2017-03-13T17:42:00Z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