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CD5D4C" w:rsidRDefault="00512B6C" w:rsidP="00CD5D4C">
      <w:pPr>
        <w:pStyle w:val="Default"/>
        <w:rPr>
          <w:b/>
        </w:rPr>
      </w:pPr>
      <w:r w:rsidRPr="00CD5D4C">
        <w:rPr>
          <w:b/>
        </w:rPr>
        <w:t xml:space="preserve">Problem </w:t>
      </w:r>
      <w:r w:rsidR="00EE4C1A" w:rsidRPr="00CD5D4C">
        <w:rPr>
          <w:b/>
        </w:rPr>
        <w:t>1.</w:t>
      </w:r>
      <w:r w:rsidR="00CD5D4C" w:rsidRPr="00CD5D4C">
        <w:rPr>
          <w:b/>
        </w:rPr>
        <w:t>22</w:t>
      </w:r>
    </w:p>
    <w:p w:rsidR="00D33B67" w:rsidRPr="00CD5D4C" w:rsidRDefault="00D33B67" w:rsidP="00CD5D4C">
      <w:pPr>
        <w:pStyle w:val="Default"/>
      </w:pPr>
      <w:r w:rsidRPr="00CD5D4C">
        <w:rPr>
          <w:b/>
        </w:rPr>
        <w:t xml:space="preserve"> </w:t>
      </w:r>
    </w:p>
    <w:p w:rsidR="00CD5D4C" w:rsidRPr="00CD5D4C" w:rsidRDefault="00CD5D4C" w:rsidP="00CD5D4C">
      <w:pPr>
        <w:autoSpaceDE w:val="0"/>
        <w:autoSpaceDN w:val="0"/>
        <w:adjustRightInd w:val="0"/>
        <w:spacing w:after="0" w:line="180" w:lineRule="atLeast"/>
        <w:rPr>
          <w:rFonts w:ascii="STIX" w:hAnsi="STIX" w:cs="STIX"/>
          <w:color w:val="211D1E"/>
          <w:sz w:val="24"/>
          <w:szCs w:val="18"/>
        </w:rPr>
      </w:pPr>
      <w:r w:rsidRPr="00CD5D4C">
        <w:rPr>
          <w:rFonts w:ascii="STIX" w:hAnsi="STIX" w:cs="STIX"/>
          <w:color w:val="211D1E"/>
          <w:sz w:val="24"/>
          <w:szCs w:val="18"/>
        </w:rPr>
        <w:t>As depicted in Fig. P1.22</w:t>
      </w:r>
      <w:r>
        <w:rPr>
          <w:rFonts w:ascii="STIX" w:hAnsi="STIX" w:cs="STIX"/>
          <w:color w:val="211D1E"/>
          <w:sz w:val="24"/>
          <w:szCs w:val="18"/>
        </w:rPr>
        <w:t xml:space="preserve"> (</w:t>
      </w:r>
      <w:r w:rsidRPr="00CD5D4C">
        <w:rPr>
          <w:rFonts w:ascii="STIX" w:hAnsi="STIX" w:cs="STIX"/>
          <w:i/>
          <w:color w:val="211D1E"/>
          <w:sz w:val="24"/>
          <w:szCs w:val="18"/>
        </w:rPr>
        <w:t>next page</w:t>
      </w:r>
      <w:r>
        <w:rPr>
          <w:rFonts w:ascii="STIX" w:hAnsi="STIX" w:cs="STIX"/>
          <w:color w:val="211D1E"/>
          <w:sz w:val="24"/>
          <w:szCs w:val="18"/>
        </w:rPr>
        <w:t>)</w:t>
      </w:r>
      <w:r w:rsidRPr="00CD5D4C">
        <w:rPr>
          <w:rFonts w:ascii="STIX" w:hAnsi="STIX" w:cs="STIX"/>
          <w:color w:val="211D1E"/>
          <w:sz w:val="24"/>
          <w:szCs w:val="18"/>
        </w:rPr>
        <w:t>, a spherical particle set</w:t>
      </w:r>
      <w:r w:rsidRPr="00CD5D4C">
        <w:rPr>
          <w:rFonts w:ascii="STIX" w:hAnsi="STIX" w:cs="STIX"/>
          <w:color w:val="211D1E"/>
          <w:sz w:val="24"/>
          <w:szCs w:val="18"/>
        </w:rPr>
        <w:softHyphen/>
        <w:t>tling through a quiescent fluid is subject to three forces: the downward force of gravity (</w:t>
      </w:r>
      <w:r w:rsidRPr="00CD5D4C">
        <w:rPr>
          <w:rFonts w:ascii="STIX" w:hAnsi="STIX" w:cs="STIX"/>
          <w:i/>
          <w:iCs/>
          <w:color w:val="211D1E"/>
          <w:sz w:val="24"/>
          <w:szCs w:val="18"/>
        </w:rPr>
        <w:t>F</w:t>
      </w:r>
      <w:r w:rsidRPr="00CD5D4C">
        <w:rPr>
          <w:rFonts w:ascii="STIX" w:hAnsi="STIX" w:cs="STIX"/>
          <w:i/>
          <w:iCs/>
          <w:color w:val="211D1E"/>
          <w:sz w:val="32"/>
          <w:vertAlign w:val="subscript"/>
        </w:rPr>
        <w:t>G</w:t>
      </w:r>
      <w:r w:rsidRPr="00CD5D4C">
        <w:rPr>
          <w:rFonts w:ascii="STIX" w:hAnsi="STIX" w:cs="STIX"/>
          <w:color w:val="211D1E"/>
          <w:sz w:val="24"/>
          <w:szCs w:val="18"/>
        </w:rPr>
        <w:t>), and the upward forces of buoyancy (</w:t>
      </w:r>
      <w:r w:rsidRPr="00CD5D4C">
        <w:rPr>
          <w:rFonts w:ascii="STIX" w:hAnsi="STIX" w:cs="STIX"/>
          <w:i/>
          <w:iCs/>
          <w:color w:val="211D1E"/>
          <w:sz w:val="24"/>
          <w:szCs w:val="18"/>
        </w:rPr>
        <w:t>F</w:t>
      </w:r>
      <w:r w:rsidRPr="00CD5D4C">
        <w:rPr>
          <w:rFonts w:ascii="STIX" w:hAnsi="STIX" w:cs="STIX"/>
          <w:i/>
          <w:iCs/>
          <w:color w:val="211D1E"/>
          <w:sz w:val="32"/>
          <w:vertAlign w:val="subscript"/>
        </w:rPr>
        <w:t>B</w:t>
      </w:r>
      <w:r w:rsidRPr="00CD5D4C">
        <w:rPr>
          <w:rFonts w:ascii="STIX" w:hAnsi="STIX" w:cs="STIX"/>
          <w:color w:val="211D1E"/>
          <w:sz w:val="24"/>
          <w:szCs w:val="18"/>
        </w:rPr>
        <w:t>) and drag (</w:t>
      </w:r>
      <w:r w:rsidRPr="00CD5D4C">
        <w:rPr>
          <w:rFonts w:ascii="STIX" w:hAnsi="STIX" w:cs="STIX"/>
          <w:i/>
          <w:iCs/>
          <w:color w:val="211D1E"/>
          <w:sz w:val="24"/>
          <w:szCs w:val="18"/>
        </w:rPr>
        <w:t>F</w:t>
      </w:r>
      <w:r w:rsidRPr="00CD5D4C">
        <w:rPr>
          <w:rFonts w:ascii="STIX" w:hAnsi="STIX" w:cs="STIX"/>
          <w:i/>
          <w:iCs/>
          <w:color w:val="211D1E"/>
          <w:sz w:val="32"/>
          <w:vertAlign w:val="subscript"/>
        </w:rPr>
        <w:t>D</w:t>
      </w:r>
      <w:r w:rsidRPr="00CD5D4C">
        <w:rPr>
          <w:rFonts w:ascii="STIX" w:hAnsi="STIX" w:cs="STIX"/>
          <w:color w:val="211D1E"/>
          <w:sz w:val="24"/>
          <w:szCs w:val="18"/>
        </w:rPr>
        <w:t xml:space="preserve">). Both the gravity and buoyancy forces can be computed with Newton’s second law with the latter equal to the weight of the displaced fluid. For laminar flow, the drag force can be computed with </w:t>
      </w:r>
      <w:r w:rsidRPr="00CD5D4C">
        <w:rPr>
          <w:rFonts w:ascii="STIX" w:hAnsi="STIX" w:cs="STIX"/>
          <w:i/>
          <w:iCs/>
          <w:color w:val="211D1E"/>
          <w:sz w:val="24"/>
          <w:szCs w:val="18"/>
        </w:rPr>
        <w:t>Stoke’s law</w:t>
      </w:r>
      <w:r w:rsidRPr="00CD5D4C">
        <w:rPr>
          <w:rFonts w:ascii="STIX" w:hAnsi="STIX" w:cs="STIX"/>
          <w:color w:val="211D1E"/>
          <w:sz w:val="24"/>
          <w:szCs w:val="18"/>
        </w:rPr>
        <w:t xml:space="preserve">, </w:t>
      </w:r>
    </w:p>
    <w:p w:rsidR="00CD5D4C" w:rsidRPr="00CD5D4C" w:rsidRDefault="00CD5D4C" w:rsidP="00CD5D4C">
      <w:pPr>
        <w:autoSpaceDE w:val="0"/>
        <w:autoSpaceDN w:val="0"/>
        <w:adjustRightInd w:val="0"/>
        <w:spacing w:before="240" w:after="240" w:line="180" w:lineRule="atLeast"/>
        <w:ind w:left="245"/>
        <w:jc w:val="center"/>
        <w:rPr>
          <w:rFonts w:ascii="STIX" w:hAnsi="STIX" w:cs="STIX"/>
          <w:color w:val="211D1E"/>
          <w:sz w:val="24"/>
          <w:szCs w:val="18"/>
        </w:rPr>
      </w:pPr>
      <w:r w:rsidRPr="00CD5D4C">
        <w:rPr>
          <w:rFonts w:ascii="STIX" w:hAnsi="STIX" w:cs="STIX"/>
          <w:i/>
          <w:iCs/>
          <w:color w:val="211D1E"/>
          <w:sz w:val="24"/>
          <w:szCs w:val="18"/>
        </w:rPr>
        <w:t>F</w:t>
      </w:r>
      <w:r w:rsidRPr="00CD5D4C">
        <w:rPr>
          <w:rFonts w:ascii="STIX" w:hAnsi="STIX" w:cs="STIX"/>
          <w:i/>
          <w:iCs/>
          <w:color w:val="211D1E"/>
          <w:sz w:val="32"/>
          <w:vertAlign w:val="subscript"/>
        </w:rPr>
        <w:t xml:space="preserve">D </w:t>
      </w:r>
      <w:r w:rsidRPr="00CD5D4C">
        <w:rPr>
          <w:rFonts w:ascii="STIX" w:hAnsi="STIX" w:cs="STIX"/>
          <w:color w:val="211D1E"/>
          <w:sz w:val="24"/>
          <w:szCs w:val="18"/>
        </w:rPr>
        <w:t>= 3</w:t>
      </w:r>
      <w:r w:rsidRPr="00CD5D4C">
        <w:rPr>
          <w:rFonts w:ascii="STIX" w:hAnsi="STIX" w:cs="STIX"/>
          <w:i/>
          <w:iCs/>
          <w:color w:val="211D1E"/>
          <w:sz w:val="24"/>
          <w:szCs w:val="18"/>
        </w:rPr>
        <w:t xml:space="preserve">πμdυ </w:t>
      </w:r>
    </w:p>
    <w:p w:rsidR="00CD5D4C" w:rsidRPr="00CD5D4C" w:rsidRDefault="00CD5D4C" w:rsidP="00CD5D4C">
      <w:pPr>
        <w:autoSpaceDE w:val="0"/>
        <w:autoSpaceDN w:val="0"/>
        <w:adjustRightInd w:val="0"/>
        <w:spacing w:after="0" w:line="180" w:lineRule="atLeast"/>
        <w:rPr>
          <w:rFonts w:ascii="STIX" w:hAnsi="STIX" w:cs="STIX"/>
          <w:color w:val="211D1E"/>
          <w:sz w:val="24"/>
          <w:szCs w:val="18"/>
        </w:rPr>
      </w:pPr>
      <w:r w:rsidRPr="00CD5D4C">
        <w:rPr>
          <w:rFonts w:ascii="STIX" w:hAnsi="STIX" w:cs="STIX"/>
          <w:color w:val="211D1E"/>
          <w:sz w:val="24"/>
          <w:szCs w:val="18"/>
        </w:rPr>
        <w:t xml:space="preserve">where </w:t>
      </w:r>
      <w:r w:rsidRPr="00CD5D4C">
        <w:rPr>
          <w:rFonts w:ascii="STIX" w:hAnsi="STIX" w:cs="STIX"/>
          <w:i/>
          <w:iCs/>
          <w:color w:val="211D1E"/>
          <w:sz w:val="24"/>
          <w:szCs w:val="18"/>
        </w:rPr>
        <w:t xml:space="preserve">μ </w:t>
      </w:r>
      <w:r w:rsidRPr="00CD5D4C">
        <w:rPr>
          <w:rFonts w:ascii="STIX" w:hAnsi="STIX" w:cs="STIX"/>
          <w:color w:val="211D1E"/>
          <w:sz w:val="24"/>
          <w:szCs w:val="18"/>
        </w:rPr>
        <w:t>= the dynamic viscosity of the fluid (N s/m</w:t>
      </w:r>
      <w:r w:rsidRPr="00CD5D4C">
        <w:rPr>
          <w:rFonts w:ascii="STIX" w:hAnsi="STIX" w:cs="STIX"/>
          <w:color w:val="211D1E"/>
          <w:sz w:val="32"/>
          <w:vertAlign w:val="superscript"/>
        </w:rPr>
        <w:t>2</w:t>
      </w:r>
      <w:r w:rsidRPr="00CD5D4C">
        <w:rPr>
          <w:rFonts w:ascii="STIX" w:hAnsi="STIX" w:cs="STIX"/>
          <w:color w:val="211D1E"/>
          <w:sz w:val="24"/>
          <w:szCs w:val="18"/>
        </w:rPr>
        <w:t xml:space="preserve">), </w:t>
      </w:r>
      <w:r w:rsidRPr="00CD5D4C">
        <w:rPr>
          <w:rFonts w:ascii="STIX" w:hAnsi="STIX" w:cs="STIX"/>
          <w:i/>
          <w:iCs/>
          <w:color w:val="211D1E"/>
          <w:sz w:val="24"/>
          <w:szCs w:val="18"/>
        </w:rPr>
        <w:t xml:space="preserve">d </w:t>
      </w:r>
      <w:r w:rsidRPr="00CD5D4C">
        <w:rPr>
          <w:rFonts w:ascii="STIX" w:hAnsi="STIX" w:cs="STIX"/>
          <w:color w:val="211D1E"/>
          <w:sz w:val="24"/>
          <w:szCs w:val="18"/>
        </w:rPr>
        <w:t xml:space="preserve">= the particle diameter (m), and </w:t>
      </w:r>
      <w:r w:rsidRPr="00CD5D4C">
        <w:rPr>
          <w:rFonts w:ascii="STIX" w:hAnsi="STIX" w:cs="STIX"/>
          <w:i/>
          <w:iCs/>
          <w:color w:val="211D1E"/>
          <w:sz w:val="24"/>
          <w:szCs w:val="18"/>
        </w:rPr>
        <w:t xml:space="preserve">υ </w:t>
      </w:r>
      <w:r w:rsidRPr="00CD5D4C">
        <w:rPr>
          <w:rFonts w:ascii="STIX" w:hAnsi="STIX" w:cs="STIX"/>
          <w:color w:val="211D1E"/>
          <w:sz w:val="24"/>
          <w:szCs w:val="18"/>
        </w:rPr>
        <w:t xml:space="preserve">= the particle’s settling velocity (m/s). The mass of the particle can be expressed as the product of the particle’s volume and density, </w:t>
      </w:r>
      <w:r w:rsidRPr="00CD5D4C">
        <w:rPr>
          <w:rFonts w:ascii="STIX" w:hAnsi="STIX" w:cs="STIX"/>
          <w:i/>
          <w:iCs/>
          <w:color w:val="211D1E"/>
          <w:sz w:val="24"/>
          <w:szCs w:val="18"/>
        </w:rPr>
        <w:t>ρ</w:t>
      </w:r>
      <w:r w:rsidRPr="00CD5D4C">
        <w:rPr>
          <w:rFonts w:ascii="STIX" w:hAnsi="STIX" w:cs="STIX"/>
          <w:i/>
          <w:iCs/>
          <w:color w:val="211D1E"/>
          <w:sz w:val="32"/>
          <w:vertAlign w:val="subscript"/>
        </w:rPr>
        <w:t>s</w:t>
      </w:r>
      <w:r w:rsidRPr="00CD5D4C">
        <w:rPr>
          <w:rFonts w:ascii="STIX" w:hAnsi="STIX" w:cs="STIX"/>
          <w:i/>
          <w:iCs/>
          <w:color w:val="211D1E"/>
          <w:sz w:val="24"/>
        </w:rPr>
        <w:t xml:space="preserve"> </w:t>
      </w:r>
      <w:r w:rsidRPr="00CD5D4C">
        <w:rPr>
          <w:rFonts w:ascii="STIX" w:hAnsi="STIX" w:cs="STIX"/>
          <w:color w:val="211D1E"/>
          <w:sz w:val="24"/>
          <w:szCs w:val="18"/>
        </w:rPr>
        <w:t>(kg/m</w:t>
      </w:r>
      <w:r w:rsidRPr="00CD5D4C">
        <w:rPr>
          <w:rFonts w:ascii="STIX" w:hAnsi="STIX" w:cs="STIX"/>
          <w:color w:val="211D1E"/>
          <w:sz w:val="32"/>
          <w:vertAlign w:val="superscript"/>
        </w:rPr>
        <w:t>3</w:t>
      </w:r>
      <w:r w:rsidRPr="00CD5D4C">
        <w:rPr>
          <w:rFonts w:ascii="STIX" w:hAnsi="STIX" w:cs="STIX"/>
          <w:color w:val="211D1E"/>
          <w:sz w:val="24"/>
          <w:szCs w:val="18"/>
        </w:rPr>
        <w:t xml:space="preserve">), and the mass of the displaced fluid can be computed as the product of the particle’s volume and the fluid’s density, </w:t>
      </w:r>
      <w:r w:rsidRPr="00CD5D4C">
        <w:rPr>
          <w:rFonts w:ascii="STIX" w:hAnsi="STIX" w:cs="STIX"/>
          <w:i/>
          <w:iCs/>
          <w:color w:val="211D1E"/>
          <w:sz w:val="24"/>
          <w:szCs w:val="18"/>
        </w:rPr>
        <w:t xml:space="preserve">ρ </w:t>
      </w:r>
      <w:r w:rsidRPr="00CD5D4C">
        <w:rPr>
          <w:rFonts w:ascii="STIX" w:hAnsi="STIX" w:cs="STIX"/>
          <w:color w:val="211D1E"/>
          <w:sz w:val="24"/>
          <w:szCs w:val="18"/>
        </w:rPr>
        <w:t>(kg/m</w:t>
      </w:r>
      <w:r w:rsidRPr="00CD5D4C">
        <w:rPr>
          <w:rFonts w:ascii="STIX" w:hAnsi="STIX" w:cs="STIX"/>
          <w:color w:val="211D1E"/>
          <w:sz w:val="32"/>
          <w:vertAlign w:val="superscript"/>
        </w:rPr>
        <w:t>3</w:t>
      </w:r>
      <w:r w:rsidRPr="00CD5D4C">
        <w:rPr>
          <w:rFonts w:ascii="STIX" w:hAnsi="STIX" w:cs="STIX"/>
          <w:color w:val="211D1E"/>
          <w:sz w:val="24"/>
          <w:szCs w:val="18"/>
        </w:rPr>
        <w:t xml:space="preserve">). The volume of a sphere is </w:t>
      </w:r>
      <w:r w:rsidRPr="00CD5D4C">
        <w:rPr>
          <w:rFonts w:ascii="STIX" w:hAnsi="STIX" w:cs="STIX"/>
          <w:i/>
          <w:iCs/>
          <w:color w:val="211D1E"/>
          <w:sz w:val="24"/>
          <w:szCs w:val="18"/>
        </w:rPr>
        <w:t>πd</w:t>
      </w:r>
      <w:r w:rsidRPr="00CD5D4C">
        <w:rPr>
          <w:rFonts w:ascii="STIX" w:hAnsi="STIX" w:cs="STIX"/>
          <w:color w:val="211D1E"/>
          <w:sz w:val="32"/>
          <w:vertAlign w:val="superscript"/>
        </w:rPr>
        <w:t>3</w:t>
      </w:r>
      <w:r w:rsidRPr="00CD5D4C">
        <w:rPr>
          <w:rFonts w:ascii="STIX" w:hAnsi="STIX" w:cs="STIX"/>
          <w:color w:val="211D1E"/>
          <w:sz w:val="24"/>
          <w:szCs w:val="18"/>
        </w:rPr>
        <w:t>/6. In addition, laminar flow corresponds to the case where the dimension</w:t>
      </w:r>
      <w:r w:rsidRPr="00CD5D4C">
        <w:rPr>
          <w:rFonts w:ascii="STIX" w:hAnsi="STIX" w:cs="STIX"/>
          <w:color w:val="211D1E"/>
          <w:sz w:val="24"/>
          <w:szCs w:val="18"/>
        </w:rPr>
        <w:softHyphen/>
        <w:t xml:space="preserve">less Reynolds number, Re, is less than 1, where Re = </w:t>
      </w:r>
      <w:r w:rsidRPr="00CD5D4C">
        <w:rPr>
          <w:rFonts w:ascii="STIX" w:hAnsi="STIX" w:cs="STIX"/>
          <w:i/>
          <w:iCs/>
          <w:color w:val="211D1E"/>
          <w:sz w:val="24"/>
          <w:szCs w:val="18"/>
        </w:rPr>
        <w:t>ρdυ</w:t>
      </w:r>
      <w:r w:rsidRPr="00CD5D4C">
        <w:rPr>
          <w:rFonts w:ascii="STIX" w:hAnsi="STIX" w:cs="STIX"/>
          <w:color w:val="211D1E"/>
          <w:sz w:val="24"/>
          <w:szCs w:val="18"/>
        </w:rPr>
        <w:t>/</w:t>
      </w:r>
      <w:r w:rsidRPr="00CD5D4C">
        <w:rPr>
          <w:rFonts w:ascii="STIX" w:hAnsi="STIX" w:cs="STIX"/>
          <w:i/>
          <w:iCs/>
          <w:color w:val="211D1E"/>
          <w:sz w:val="24"/>
          <w:szCs w:val="18"/>
        </w:rPr>
        <w:t>μ</w:t>
      </w:r>
      <w:r w:rsidRPr="00CD5D4C">
        <w:rPr>
          <w:rFonts w:ascii="STIX" w:hAnsi="STIX" w:cs="STIX"/>
          <w:color w:val="211D1E"/>
          <w:sz w:val="24"/>
          <w:szCs w:val="18"/>
        </w:rPr>
        <w:t xml:space="preserve">. </w:t>
      </w:r>
    </w:p>
    <w:p w:rsidR="00CD5D4C" w:rsidRDefault="00CD5D4C" w:rsidP="00CD5D4C">
      <w:pPr>
        <w:pStyle w:val="Default"/>
        <w:rPr>
          <w:b/>
          <w:bCs/>
          <w:color w:val="211D1E"/>
          <w:szCs w:val="18"/>
        </w:rPr>
      </w:pPr>
    </w:p>
    <w:p w:rsidR="00CD5D4C" w:rsidRPr="00CD5D4C" w:rsidRDefault="00CD5D4C" w:rsidP="00CD5D4C">
      <w:pPr>
        <w:pStyle w:val="Default"/>
      </w:pPr>
      <w:r w:rsidRPr="00CD5D4C">
        <w:rPr>
          <w:b/>
          <w:bCs/>
          <w:color w:val="211D1E"/>
          <w:szCs w:val="18"/>
        </w:rPr>
        <w:t xml:space="preserve">(a) </w:t>
      </w:r>
      <w:r w:rsidRPr="00CD5D4C">
        <w:rPr>
          <w:color w:val="211D1E"/>
          <w:szCs w:val="18"/>
        </w:rPr>
        <w:t>Use a force balance for the particle to develop the dif</w:t>
      </w:r>
      <w:r w:rsidRPr="00CD5D4C">
        <w:rPr>
          <w:color w:val="211D1E"/>
          <w:szCs w:val="18"/>
        </w:rPr>
        <w:softHyphen/>
        <w:t xml:space="preserve">ferential equation for </w:t>
      </w:r>
      <w:r w:rsidRPr="00CD5D4C">
        <w:rPr>
          <w:i/>
          <w:iCs/>
          <w:color w:val="211D1E"/>
          <w:szCs w:val="18"/>
        </w:rPr>
        <w:t>dυ</w:t>
      </w:r>
      <w:r w:rsidRPr="00CD5D4C">
        <w:rPr>
          <w:color w:val="211D1E"/>
          <w:szCs w:val="18"/>
        </w:rPr>
        <w:t>/</w:t>
      </w:r>
      <w:r w:rsidRPr="00CD5D4C">
        <w:rPr>
          <w:i/>
          <w:iCs/>
          <w:color w:val="211D1E"/>
          <w:szCs w:val="18"/>
        </w:rPr>
        <w:t xml:space="preserve">dt </w:t>
      </w:r>
      <w:r w:rsidRPr="00CD5D4C">
        <w:rPr>
          <w:color w:val="211D1E"/>
          <w:szCs w:val="18"/>
        </w:rPr>
        <w:t xml:space="preserve">as a function of </w:t>
      </w:r>
      <w:r w:rsidRPr="00CD5D4C">
        <w:rPr>
          <w:i/>
          <w:iCs/>
          <w:color w:val="211D1E"/>
          <w:szCs w:val="18"/>
        </w:rPr>
        <w:t>d</w:t>
      </w:r>
      <w:r w:rsidRPr="00CD5D4C">
        <w:rPr>
          <w:color w:val="211D1E"/>
          <w:szCs w:val="18"/>
        </w:rPr>
        <w:t xml:space="preserve">, </w:t>
      </w:r>
      <w:r w:rsidRPr="00CD5D4C">
        <w:rPr>
          <w:i/>
          <w:iCs/>
          <w:color w:val="211D1E"/>
          <w:szCs w:val="18"/>
        </w:rPr>
        <w:t>ρ</w:t>
      </w:r>
      <w:r w:rsidRPr="00CD5D4C">
        <w:rPr>
          <w:color w:val="211D1E"/>
          <w:szCs w:val="18"/>
        </w:rPr>
        <w:t xml:space="preserve">, </w:t>
      </w:r>
      <w:r w:rsidRPr="00CD5D4C">
        <w:rPr>
          <w:i/>
          <w:iCs/>
          <w:color w:val="211D1E"/>
          <w:szCs w:val="18"/>
        </w:rPr>
        <w:t>ρ</w:t>
      </w:r>
      <w:r w:rsidRPr="00CD5D4C">
        <w:rPr>
          <w:i/>
          <w:iCs/>
          <w:color w:val="211D1E"/>
          <w:sz w:val="32"/>
          <w:vertAlign w:val="subscript"/>
        </w:rPr>
        <w:t>s</w:t>
      </w:r>
      <w:r w:rsidRPr="00CD5D4C">
        <w:rPr>
          <w:color w:val="211D1E"/>
          <w:szCs w:val="18"/>
        </w:rPr>
        <w:t xml:space="preserve">, and </w:t>
      </w:r>
      <w:r w:rsidRPr="00CD5D4C">
        <w:rPr>
          <w:i/>
          <w:iCs/>
          <w:color w:val="211D1E"/>
          <w:szCs w:val="18"/>
        </w:rPr>
        <w:t>μ</w:t>
      </w:r>
      <w:r w:rsidRPr="00CD5D4C">
        <w:rPr>
          <w:color w:val="211D1E"/>
          <w:szCs w:val="18"/>
        </w:rPr>
        <w:t xml:space="preserve">. </w:t>
      </w:r>
    </w:p>
    <w:p w:rsidR="00CD5D4C" w:rsidRDefault="00CD5D4C" w:rsidP="00CD5D4C">
      <w:pPr>
        <w:autoSpaceDE w:val="0"/>
        <w:autoSpaceDN w:val="0"/>
        <w:adjustRightInd w:val="0"/>
        <w:spacing w:after="0" w:line="180" w:lineRule="atLeast"/>
        <w:ind w:left="300" w:hanging="300"/>
        <w:rPr>
          <w:rFonts w:ascii="STIX" w:hAnsi="STIX" w:cs="STIX"/>
          <w:b/>
          <w:bCs/>
          <w:color w:val="211D1E"/>
          <w:sz w:val="24"/>
          <w:szCs w:val="18"/>
        </w:rPr>
      </w:pPr>
    </w:p>
    <w:p w:rsidR="00CD5D4C" w:rsidRPr="00CD5D4C" w:rsidRDefault="00CD5D4C" w:rsidP="00CD5D4C">
      <w:pPr>
        <w:autoSpaceDE w:val="0"/>
        <w:autoSpaceDN w:val="0"/>
        <w:adjustRightInd w:val="0"/>
        <w:spacing w:after="0" w:line="180" w:lineRule="atLeast"/>
        <w:ind w:left="300" w:hanging="300"/>
        <w:rPr>
          <w:rFonts w:ascii="STIX" w:hAnsi="STIX" w:cs="STIX"/>
          <w:color w:val="211D1E"/>
          <w:sz w:val="24"/>
          <w:szCs w:val="18"/>
        </w:rPr>
      </w:pPr>
      <w:r w:rsidRPr="00CD5D4C">
        <w:rPr>
          <w:rFonts w:ascii="STIX" w:hAnsi="STIX" w:cs="STIX"/>
          <w:b/>
          <w:bCs/>
          <w:color w:val="211D1E"/>
          <w:sz w:val="24"/>
          <w:szCs w:val="18"/>
        </w:rPr>
        <w:t xml:space="preserve">(b) </w:t>
      </w:r>
      <w:r w:rsidRPr="00CD5D4C">
        <w:rPr>
          <w:rFonts w:ascii="STIX" w:hAnsi="STIX" w:cs="STIX"/>
          <w:color w:val="211D1E"/>
          <w:sz w:val="24"/>
          <w:szCs w:val="18"/>
        </w:rPr>
        <w:t>At steady-state, use this equation to solve for the par</w:t>
      </w:r>
      <w:r w:rsidRPr="00CD5D4C">
        <w:rPr>
          <w:rFonts w:ascii="STIX" w:hAnsi="STIX" w:cs="STIX"/>
          <w:color w:val="211D1E"/>
          <w:sz w:val="24"/>
          <w:szCs w:val="18"/>
        </w:rPr>
        <w:softHyphen/>
        <w:t xml:space="preserve">ticle’s terminal velocity. </w:t>
      </w:r>
    </w:p>
    <w:p w:rsidR="00CD5D4C" w:rsidRDefault="00CD5D4C" w:rsidP="00CD5D4C">
      <w:pPr>
        <w:autoSpaceDE w:val="0"/>
        <w:autoSpaceDN w:val="0"/>
        <w:adjustRightInd w:val="0"/>
        <w:spacing w:after="0" w:line="180" w:lineRule="atLeast"/>
        <w:ind w:left="300" w:hanging="300"/>
        <w:rPr>
          <w:rFonts w:ascii="STIX" w:hAnsi="STIX" w:cs="STIX"/>
          <w:b/>
          <w:bCs/>
          <w:color w:val="211D1E"/>
          <w:sz w:val="24"/>
          <w:szCs w:val="18"/>
        </w:rPr>
      </w:pPr>
    </w:p>
    <w:p w:rsidR="00CD5D4C" w:rsidRPr="00CD5D4C" w:rsidRDefault="00CD5D4C" w:rsidP="00CD5D4C">
      <w:pPr>
        <w:autoSpaceDE w:val="0"/>
        <w:autoSpaceDN w:val="0"/>
        <w:adjustRightInd w:val="0"/>
        <w:spacing w:after="0" w:line="180" w:lineRule="atLeast"/>
        <w:ind w:left="300" w:hanging="300"/>
        <w:rPr>
          <w:rFonts w:ascii="STIX" w:hAnsi="STIX" w:cs="STIX"/>
          <w:color w:val="211D1E"/>
          <w:sz w:val="24"/>
          <w:szCs w:val="18"/>
        </w:rPr>
      </w:pPr>
      <w:r w:rsidRPr="00CD5D4C">
        <w:rPr>
          <w:rFonts w:ascii="STIX" w:hAnsi="STIX" w:cs="STIX"/>
          <w:b/>
          <w:bCs/>
          <w:color w:val="211D1E"/>
          <w:sz w:val="24"/>
          <w:szCs w:val="18"/>
        </w:rPr>
        <w:t xml:space="preserve">(c) </w:t>
      </w:r>
      <w:r w:rsidRPr="00CD5D4C">
        <w:rPr>
          <w:rFonts w:ascii="STIX" w:hAnsi="STIX" w:cs="STIX"/>
          <w:color w:val="211D1E"/>
          <w:sz w:val="24"/>
          <w:szCs w:val="18"/>
        </w:rPr>
        <w:t xml:space="preserve">Employ the result of </w:t>
      </w:r>
      <w:r w:rsidRPr="00CD5D4C">
        <w:rPr>
          <w:rFonts w:ascii="STIX" w:hAnsi="STIX" w:cs="STIX"/>
          <w:b/>
          <w:bCs/>
          <w:color w:val="211D1E"/>
          <w:sz w:val="24"/>
          <w:szCs w:val="18"/>
        </w:rPr>
        <w:t xml:space="preserve">(b) </w:t>
      </w:r>
      <w:r w:rsidRPr="00CD5D4C">
        <w:rPr>
          <w:rFonts w:ascii="STIX" w:hAnsi="STIX" w:cs="STIX"/>
          <w:color w:val="211D1E"/>
          <w:sz w:val="24"/>
          <w:szCs w:val="18"/>
        </w:rPr>
        <w:t>to compute the particle’s ter</w:t>
      </w:r>
      <w:r w:rsidRPr="00CD5D4C">
        <w:rPr>
          <w:rFonts w:ascii="STIX" w:hAnsi="STIX" w:cs="STIX"/>
          <w:color w:val="211D1E"/>
          <w:sz w:val="24"/>
          <w:szCs w:val="18"/>
        </w:rPr>
        <w:softHyphen/>
        <w:t xml:space="preserve">minal velocity in m/s for a spherical silt particle settling in water: </w:t>
      </w:r>
      <w:r w:rsidRPr="00CD5D4C">
        <w:rPr>
          <w:rFonts w:ascii="STIX" w:hAnsi="STIX" w:cs="STIX"/>
          <w:i/>
          <w:iCs/>
          <w:color w:val="211D1E"/>
          <w:sz w:val="24"/>
          <w:szCs w:val="18"/>
        </w:rPr>
        <w:t xml:space="preserve">d </w:t>
      </w:r>
      <w:r w:rsidRPr="00CD5D4C">
        <w:rPr>
          <w:rFonts w:ascii="STIX" w:hAnsi="STIX" w:cs="STIX"/>
          <w:color w:val="211D1E"/>
          <w:sz w:val="24"/>
          <w:szCs w:val="18"/>
        </w:rPr>
        <w:t xml:space="preserve">= 10 μm, </w:t>
      </w:r>
      <w:r w:rsidRPr="00CD5D4C">
        <w:rPr>
          <w:rFonts w:ascii="STIX" w:hAnsi="STIX" w:cs="STIX"/>
          <w:i/>
          <w:iCs/>
          <w:color w:val="211D1E"/>
          <w:sz w:val="24"/>
          <w:szCs w:val="18"/>
        </w:rPr>
        <w:t xml:space="preserve">ρ </w:t>
      </w:r>
      <w:r w:rsidRPr="00CD5D4C">
        <w:rPr>
          <w:rFonts w:ascii="STIX" w:hAnsi="STIX" w:cs="STIX"/>
          <w:color w:val="211D1E"/>
          <w:sz w:val="24"/>
          <w:szCs w:val="18"/>
        </w:rPr>
        <w:t>= 1 g/cm</w:t>
      </w:r>
      <w:r w:rsidRPr="00CD5D4C">
        <w:rPr>
          <w:rFonts w:ascii="STIX" w:hAnsi="STIX" w:cs="STIX"/>
          <w:color w:val="211D1E"/>
          <w:sz w:val="32"/>
          <w:vertAlign w:val="superscript"/>
        </w:rPr>
        <w:t>3</w:t>
      </w:r>
      <w:r w:rsidRPr="00CD5D4C">
        <w:rPr>
          <w:rFonts w:ascii="STIX" w:hAnsi="STIX" w:cs="STIX"/>
          <w:color w:val="211D1E"/>
          <w:sz w:val="24"/>
          <w:szCs w:val="18"/>
        </w:rPr>
        <w:t xml:space="preserve">, </w:t>
      </w:r>
      <w:r w:rsidRPr="00CD5D4C">
        <w:rPr>
          <w:rFonts w:ascii="STIX" w:hAnsi="STIX" w:cs="STIX"/>
          <w:i/>
          <w:iCs/>
          <w:color w:val="211D1E"/>
          <w:sz w:val="24"/>
          <w:szCs w:val="18"/>
        </w:rPr>
        <w:t>ρ</w:t>
      </w:r>
      <w:r w:rsidRPr="00CD5D4C">
        <w:rPr>
          <w:rFonts w:ascii="STIX" w:hAnsi="STIX" w:cs="STIX"/>
          <w:i/>
          <w:iCs/>
          <w:color w:val="211D1E"/>
          <w:sz w:val="32"/>
          <w:vertAlign w:val="subscript"/>
        </w:rPr>
        <w:t>s</w:t>
      </w:r>
      <w:r w:rsidRPr="00CD5D4C">
        <w:rPr>
          <w:rFonts w:ascii="STIX" w:hAnsi="STIX" w:cs="STIX"/>
          <w:i/>
          <w:iCs/>
          <w:color w:val="211D1E"/>
          <w:sz w:val="24"/>
        </w:rPr>
        <w:t xml:space="preserve"> </w:t>
      </w:r>
      <w:r w:rsidRPr="00CD5D4C">
        <w:rPr>
          <w:rFonts w:ascii="STIX" w:hAnsi="STIX" w:cs="STIX"/>
          <w:color w:val="211D1E"/>
          <w:sz w:val="24"/>
          <w:szCs w:val="18"/>
        </w:rPr>
        <w:t>= 2.65 g/cm</w:t>
      </w:r>
      <w:r w:rsidRPr="00CD5D4C">
        <w:rPr>
          <w:rFonts w:ascii="STIX" w:hAnsi="STIX" w:cs="STIX"/>
          <w:color w:val="211D1E"/>
          <w:sz w:val="32"/>
          <w:vertAlign w:val="superscript"/>
        </w:rPr>
        <w:t>3</w:t>
      </w:r>
      <w:r w:rsidRPr="00CD5D4C">
        <w:rPr>
          <w:rFonts w:ascii="STIX" w:hAnsi="STIX" w:cs="STIX"/>
          <w:color w:val="211D1E"/>
          <w:sz w:val="24"/>
          <w:szCs w:val="18"/>
        </w:rPr>
        <w:t xml:space="preserve">, and </w:t>
      </w:r>
      <w:r w:rsidRPr="00CD5D4C">
        <w:rPr>
          <w:rFonts w:ascii="STIX" w:hAnsi="STIX" w:cs="STIX"/>
          <w:i/>
          <w:iCs/>
          <w:color w:val="211D1E"/>
          <w:sz w:val="24"/>
          <w:szCs w:val="18"/>
        </w:rPr>
        <w:t xml:space="preserve">μ </w:t>
      </w:r>
      <w:r w:rsidRPr="00CD5D4C">
        <w:rPr>
          <w:rFonts w:ascii="STIX" w:hAnsi="STIX" w:cs="STIX"/>
          <w:color w:val="211D1E"/>
          <w:sz w:val="24"/>
          <w:szCs w:val="18"/>
        </w:rPr>
        <w:t xml:space="preserve">= 0.014 g/(cm·s). </w:t>
      </w:r>
    </w:p>
    <w:p w:rsidR="00CD5D4C" w:rsidRDefault="00CD5D4C" w:rsidP="00CD5D4C">
      <w:pPr>
        <w:autoSpaceDE w:val="0"/>
        <w:autoSpaceDN w:val="0"/>
        <w:adjustRightInd w:val="0"/>
        <w:spacing w:after="0" w:line="180" w:lineRule="atLeast"/>
        <w:ind w:left="300" w:hanging="300"/>
        <w:rPr>
          <w:rFonts w:ascii="STIX" w:hAnsi="STIX" w:cs="STIX"/>
          <w:b/>
          <w:bCs/>
          <w:color w:val="211D1E"/>
          <w:sz w:val="24"/>
          <w:szCs w:val="18"/>
        </w:rPr>
      </w:pPr>
    </w:p>
    <w:p w:rsidR="00CD5D4C" w:rsidRPr="00CD5D4C" w:rsidRDefault="00CD5D4C" w:rsidP="00CD5D4C">
      <w:pPr>
        <w:autoSpaceDE w:val="0"/>
        <w:autoSpaceDN w:val="0"/>
        <w:adjustRightInd w:val="0"/>
        <w:spacing w:after="0" w:line="180" w:lineRule="atLeast"/>
        <w:ind w:left="300" w:hanging="300"/>
        <w:rPr>
          <w:rFonts w:ascii="STIX" w:hAnsi="STIX" w:cs="STIX"/>
          <w:color w:val="211D1E"/>
          <w:sz w:val="24"/>
          <w:szCs w:val="18"/>
        </w:rPr>
      </w:pPr>
      <w:r w:rsidRPr="00CD5D4C">
        <w:rPr>
          <w:rFonts w:ascii="STIX" w:hAnsi="STIX" w:cs="STIX"/>
          <w:b/>
          <w:bCs/>
          <w:color w:val="211D1E"/>
          <w:sz w:val="24"/>
          <w:szCs w:val="18"/>
        </w:rPr>
        <w:t xml:space="preserve">(d) </w:t>
      </w:r>
      <w:r w:rsidRPr="00CD5D4C">
        <w:rPr>
          <w:rFonts w:ascii="STIX" w:hAnsi="STIX" w:cs="STIX"/>
          <w:color w:val="211D1E"/>
          <w:sz w:val="24"/>
          <w:szCs w:val="18"/>
        </w:rPr>
        <w:t xml:space="preserve">Check whether flow is laminar. </w:t>
      </w:r>
    </w:p>
    <w:p w:rsidR="00CD5D4C" w:rsidRDefault="00CD5D4C" w:rsidP="00CD5D4C">
      <w:pPr>
        <w:autoSpaceDE w:val="0"/>
        <w:autoSpaceDN w:val="0"/>
        <w:adjustRightInd w:val="0"/>
        <w:spacing w:after="0" w:line="180" w:lineRule="atLeast"/>
        <w:rPr>
          <w:rFonts w:ascii="STIX" w:hAnsi="STIX" w:cs="STIX"/>
          <w:b/>
          <w:bCs/>
          <w:color w:val="211D1E"/>
          <w:sz w:val="24"/>
          <w:szCs w:val="18"/>
        </w:rPr>
      </w:pPr>
    </w:p>
    <w:p w:rsidR="001F5D63" w:rsidRDefault="00CD5D4C" w:rsidP="00CD5D4C">
      <w:pPr>
        <w:autoSpaceDE w:val="0"/>
        <w:autoSpaceDN w:val="0"/>
        <w:adjustRightInd w:val="0"/>
        <w:spacing w:after="0" w:line="180" w:lineRule="atLeast"/>
        <w:rPr>
          <w:rFonts w:ascii="STIX" w:hAnsi="STIX" w:cs="STIX"/>
          <w:color w:val="211D1E"/>
          <w:sz w:val="24"/>
          <w:szCs w:val="18"/>
        </w:rPr>
      </w:pPr>
      <w:r w:rsidRPr="00CD5D4C">
        <w:rPr>
          <w:rFonts w:ascii="STIX" w:hAnsi="STIX" w:cs="STIX"/>
          <w:b/>
          <w:bCs/>
          <w:color w:val="211D1E"/>
          <w:sz w:val="24"/>
          <w:szCs w:val="18"/>
        </w:rPr>
        <w:t xml:space="preserve">(e) </w:t>
      </w:r>
      <w:r w:rsidRPr="00CD5D4C">
        <w:rPr>
          <w:rFonts w:ascii="STIX" w:hAnsi="STIX" w:cs="STIX"/>
          <w:color w:val="211D1E"/>
          <w:sz w:val="24"/>
          <w:szCs w:val="18"/>
        </w:rPr>
        <w:t xml:space="preserve">Use Euler’s method to compute the velocity from </w:t>
      </w:r>
      <w:r w:rsidRPr="00CD5D4C">
        <w:rPr>
          <w:rFonts w:ascii="STIX" w:hAnsi="STIX" w:cs="STIX"/>
          <w:i/>
          <w:iCs/>
          <w:color w:val="211D1E"/>
          <w:sz w:val="24"/>
          <w:szCs w:val="18"/>
        </w:rPr>
        <w:t xml:space="preserve">t </w:t>
      </w:r>
      <w:r w:rsidRPr="00CD5D4C">
        <w:rPr>
          <w:rFonts w:ascii="STIX" w:hAnsi="STIX" w:cs="STIX"/>
          <w:color w:val="211D1E"/>
          <w:sz w:val="24"/>
          <w:szCs w:val="18"/>
        </w:rPr>
        <w:t>= 0 to 2</w:t>
      </w:r>
      <w:r w:rsidRPr="00CD5D4C">
        <w:rPr>
          <w:rFonts w:ascii="STIX" w:hAnsi="STIX" w:cs="STIX"/>
          <w:color w:val="211D1E"/>
          <w:sz w:val="32"/>
          <w:vertAlign w:val="superscript"/>
        </w:rPr>
        <w:t>−15</w:t>
      </w:r>
      <w:r w:rsidRPr="00CD5D4C">
        <w:rPr>
          <w:rFonts w:ascii="STIX" w:hAnsi="STIX" w:cs="STIX"/>
          <w:color w:val="211D1E"/>
          <w:sz w:val="24"/>
        </w:rPr>
        <w:t xml:space="preserve"> </w:t>
      </w:r>
      <w:r w:rsidRPr="00CD5D4C">
        <w:rPr>
          <w:rFonts w:ascii="STIX" w:hAnsi="STIX" w:cs="STIX"/>
          <w:color w:val="211D1E"/>
          <w:sz w:val="24"/>
          <w:szCs w:val="18"/>
        </w:rPr>
        <w:t>s with Δ</w:t>
      </w:r>
      <w:r w:rsidRPr="00CD5D4C">
        <w:rPr>
          <w:rFonts w:ascii="STIX" w:hAnsi="STIX" w:cs="STIX"/>
          <w:i/>
          <w:iCs/>
          <w:color w:val="211D1E"/>
          <w:sz w:val="24"/>
          <w:szCs w:val="18"/>
        </w:rPr>
        <w:t xml:space="preserve">t </w:t>
      </w:r>
      <w:r w:rsidRPr="00CD5D4C">
        <w:rPr>
          <w:rFonts w:ascii="STIX" w:hAnsi="STIX" w:cs="STIX"/>
          <w:color w:val="211D1E"/>
          <w:sz w:val="24"/>
          <w:szCs w:val="18"/>
        </w:rPr>
        <w:t>= 2</w:t>
      </w:r>
      <w:r w:rsidRPr="00CD5D4C">
        <w:rPr>
          <w:rFonts w:ascii="STIX" w:hAnsi="STIX" w:cs="STIX"/>
          <w:color w:val="211D1E"/>
          <w:sz w:val="32"/>
          <w:vertAlign w:val="superscript"/>
        </w:rPr>
        <w:t xml:space="preserve">−18 </w:t>
      </w:r>
      <w:r w:rsidRPr="00CD5D4C">
        <w:rPr>
          <w:rFonts w:ascii="STIX" w:hAnsi="STIX" w:cs="STIX"/>
          <w:color w:val="211D1E"/>
          <w:sz w:val="24"/>
          <w:szCs w:val="18"/>
        </w:rPr>
        <w:t xml:space="preserve">s given the initial condition: </w:t>
      </w:r>
      <w:r w:rsidRPr="00CD5D4C">
        <w:rPr>
          <w:rFonts w:ascii="STIX" w:hAnsi="STIX" w:cs="STIX"/>
          <w:i/>
          <w:iCs/>
          <w:color w:val="211D1E"/>
          <w:sz w:val="24"/>
          <w:szCs w:val="18"/>
        </w:rPr>
        <w:t>υ</w:t>
      </w:r>
      <w:r w:rsidRPr="00CD5D4C">
        <w:rPr>
          <w:rFonts w:ascii="STIX" w:hAnsi="STIX" w:cs="STIX"/>
          <w:color w:val="211D1E"/>
          <w:sz w:val="24"/>
          <w:szCs w:val="18"/>
        </w:rPr>
        <w:t xml:space="preserve">(0) = 0. </w:t>
      </w:r>
    </w:p>
    <w:p w:rsidR="00CD5D4C" w:rsidRDefault="00CD5D4C" w:rsidP="00CD5D4C">
      <w:pPr>
        <w:autoSpaceDE w:val="0"/>
        <w:autoSpaceDN w:val="0"/>
        <w:adjustRightInd w:val="0"/>
        <w:spacing w:after="0" w:line="180" w:lineRule="atLeast"/>
        <w:rPr>
          <w:rFonts w:ascii="STIX" w:hAnsi="STIX" w:cs="STIX"/>
          <w:color w:val="211D1E"/>
          <w:sz w:val="24"/>
          <w:szCs w:val="18"/>
        </w:rPr>
      </w:pPr>
    </w:p>
    <w:p w:rsidR="00CD5D4C" w:rsidRPr="00BF660B" w:rsidRDefault="00CD5D4C" w:rsidP="00CD5D4C">
      <w:pPr>
        <w:rPr>
          <w:rFonts w:ascii="STIX" w:hAnsi="STIX" w:cs="STIX"/>
          <w:sz w:val="24"/>
          <w:szCs w:val="24"/>
        </w:rPr>
      </w:pPr>
      <w:r w:rsidRPr="00BF660B">
        <w:rPr>
          <w:rFonts w:ascii="STIX" w:hAnsi="STIX" w:cs="STIX"/>
          <w:i/>
          <w:sz w:val="24"/>
          <w:szCs w:val="24"/>
        </w:rPr>
        <w:t>Problem continued on next page...</w:t>
      </w:r>
    </w:p>
    <w:p w:rsidR="00CD5D4C" w:rsidRDefault="00CD5D4C" w:rsidP="00CD5D4C">
      <w:pPr>
        <w:autoSpaceDE w:val="0"/>
        <w:autoSpaceDN w:val="0"/>
        <w:adjustRightInd w:val="0"/>
        <w:spacing w:after="0" w:line="180" w:lineRule="atLeast"/>
        <w:rPr>
          <w:rFonts w:ascii="STIX" w:hAnsi="STIX" w:cs="STIX"/>
          <w:color w:val="211D1E"/>
          <w:sz w:val="24"/>
          <w:szCs w:val="18"/>
        </w:rPr>
      </w:pPr>
    </w:p>
    <w:p w:rsidR="00CD5D4C" w:rsidRPr="00CD5D4C" w:rsidRDefault="00CD5D4C" w:rsidP="00CD5D4C">
      <w:pPr>
        <w:autoSpaceDE w:val="0"/>
        <w:autoSpaceDN w:val="0"/>
        <w:adjustRightInd w:val="0"/>
        <w:spacing w:after="0" w:line="180" w:lineRule="atLeast"/>
        <w:jc w:val="center"/>
        <w:rPr>
          <w:rFonts w:ascii="STIX" w:hAnsi="STIX" w:cs="STIX"/>
          <w:sz w:val="24"/>
          <w:szCs w:val="18"/>
        </w:rPr>
      </w:pPr>
      <w:r>
        <w:rPr>
          <w:rFonts w:ascii="STIX" w:hAnsi="STIX" w:cs="STIX"/>
          <w:noProof/>
          <w:sz w:val="24"/>
          <w:szCs w:val="18"/>
        </w:rPr>
        <w:t xml:space="preserve"> </w:t>
      </w:r>
      <w:r>
        <w:rPr>
          <w:rFonts w:ascii="STIX" w:hAnsi="STIX" w:cs="STIX"/>
          <w:noProof/>
          <w:sz w:val="24"/>
          <w:szCs w:val="18"/>
        </w:rPr>
        <w:drawing>
          <wp:inline distT="0" distB="0" distL="0" distR="0">
            <wp:extent cx="3641257" cy="3821219"/>
            <wp:effectExtent l="1905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7" cstate="print"/>
                    <a:srcRect/>
                    <a:stretch>
                      <a:fillRect/>
                    </a:stretch>
                  </pic:blipFill>
                  <pic:spPr bwMode="auto">
                    <a:xfrm>
                      <a:off x="0" y="0"/>
                      <a:ext cx="3648903" cy="3829243"/>
                    </a:xfrm>
                    <a:prstGeom prst="rect">
                      <a:avLst/>
                    </a:prstGeom>
                    <a:noFill/>
                    <a:ln w="9525">
                      <a:noFill/>
                      <a:miter lim="800000"/>
                      <a:headEnd/>
                      <a:tailEnd/>
                    </a:ln>
                  </pic:spPr>
                </pic:pic>
              </a:graphicData>
            </a:graphic>
          </wp:inline>
        </w:drawing>
      </w:r>
    </w:p>
    <w:sectPr w:rsidR="00CD5D4C" w:rsidRPr="00CD5D4C"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237</Words>
  <Characters>1356</Characters>
  <Application>Microsoft Office Word</Application>
  <DocSecurity>0</DocSecurity>
  <Lines>11</Lines>
  <Paragraphs>3</Paragraphs>
  <ScaleCrop>false</ScaleCrop>
  <Company/>
  <LinksUpToDate>false</LinksUpToDate>
  <CharactersWithSpaces>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2017-03-13T17:51:00Z</dcterms:created>
  <dcterms:modified xsi:type="dcterms:W3CDTF">2017-03-13T17:51:00Z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