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9F7684" w:rsidRDefault="00512B6C" w:rsidP="009F7684">
      <w:pPr>
        <w:pStyle w:val="Default"/>
        <w:rPr>
          <w:b/>
        </w:rPr>
      </w:pPr>
      <w:r w:rsidRPr="009F7684">
        <w:rPr>
          <w:b/>
        </w:rPr>
        <w:t xml:space="preserve">Problem </w:t>
      </w:r>
      <w:r w:rsidR="00EE4C1A" w:rsidRPr="009F7684">
        <w:rPr>
          <w:b/>
        </w:rPr>
        <w:t>1.</w:t>
      </w:r>
      <w:r w:rsidR="009F7684" w:rsidRPr="009F7684">
        <w:rPr>
          <w:b/>
        </w:rPr>
        <w:t>25</w:t>
      </w:r>
    </w:p>
    <w:p w:rsidR="003F7FF0" w:rsidRPr="009F7684" w:rsidRDefault="003F7FF0" w:rsidP="009F7684">
      <w:pPr>
        <w:pStyle w:val="Default"/>
      </w:pPr>
    </w:p>
    <w:p w:rsidR="00CD5D4C" w:rsidRDefault="009F7684" w:rsidP="009F7684">
      <w:pPr>
        <w:pStyle w:val="Default"/>
        <w:rPr>
          <w:color w:val="211D1E"/>
          <w:szCs w:val="18"/>
        </w:rPr>
      </w:pPr>
      <w:r w:rsidRPr="009F7684">
        <w:rPr>
          <w:color w:val="211D1E"/>
          <w:szCs w:val="18"/>
        </w:rPr>
        <w:t xml:space="preserve">Beyond fluids, </w:t>
      </w:r>
      <w:r w:rsidRPr="009F7684">
        <w:rPr>
          <w:i/>
          <w:iCs/>
          <w:color w:val="211D1E"/>
          <w:szCs w:val="18"/>
        </w:rPr>
        <w:t xml:space="preserve">Archimedes’ principle </w:t>
      </w:r>
      <w:r w:rsidRPr="009F7684">
        <w:rPr>
          <w:color w:val="211D1E"/>
          <w:szCs w:val="18"/>
        </w:rPr>
        <w:t xml:space="preserve">has proven useful in geology when applied to solids on the earth’s crust. Figure P1.25 depicts one such case where a lighter conical granite mountain “floats on” a denser basalt layer at the earth’s surface. Note that the part of the cone below the surface is formally referred to as a </w:t>
      </w:r>
      <w:r w:rsidRPr="009F7684">
        <w:rPr>
          <w:i/>
          <w:iCs/>
          <w:color w:val="211D1E"/>
          <w:szCs w:val="18"/>
        </w:rPr>
        <w:t>frustum</w:t>
      </w:r>
      <w:r w:rsidRPr="009F7684">
        <w:rPr>
          <w:color w:val="211D1E"/>
          <w:szCs w:val="18"/>
        </w:rPr>
        <w:t>. Develop a steady-state force balance for this case in terms of the fol</w:t>
      </w:r>
      <w:r w:rsidRPr="009F7684">
        <w:rPr>
          <w:color w:val="211D1E"/>
          <w:szCs w:val="18"/>
        </w:rPr>
        <w:softHyphen/>
        <w:t>lowing parameters: basalt’s density (</w:t>
      </w:r>
      <w:r w:rsidRPr="009F7684">
        <w:rPr>
          <w:i/>
          <w:iCs/>
          <w:color w:val="211D1E"/>
          <w:szCs w:val="18"/>
        </w:rPr>
        <w:t>ρ</w:t>
      </w:r>
      <w:r w:rsidRPr="009F7684">
        <w:rPr>
          <w:i/>
          <w:iCs/>
          <w:color w:val="211D1E"/>
          <w:sz w:val="32"/>
          <w:vertAlign w:val="subscript"/>
        </w:rPr>
        <w:t>b</w:t>
      </w:r>
      <w:r w:rsidRPr="009F7684">
        <w:rPr>
          <w:color w:val="211D1E"/>
          <w:szCs w:val="18"/>
        </w:rPr>
        <w:t>), granite’s density (</w:t>
      </w:r>
      <w:r w:rsidRPr="009F7684">
        <w:rPr>
          <w:i/>
          <w:iCs/>
          <w:color w:val="211D1E"/>
          <w:szCs w:val="18"/>
        </w:rPr>
        <w:t>ρ</w:t>
      </w:r>
      <w:r w:rsidRPr="009F7684">
        <w:rPr>
          <w:i/>
          <w:iCs/>
          <w:color w:val="211D1E"/>
          <w:sz w:val="32"/>
          <w:vertAlign w:val="subscript"/>
        </w:rPr>
        <w:t>g</w:t>
      </w:r>
      <w:r w:rsidRPr="009F7684">
        <w:rPr>
          <w:color w:val="211D1E"/>
          <w:szCs w:val="18"/>
        </w:rPr>
        <w:t>), the cone’s bottom radius (</w:t>
      </w:r>
      <w:r w:rsidRPr="009F7684">
        <w:rPr>
          <w:i/>
          <w:iCs/>
          <w:color w:val="211D1E"/>
          <w:szCs w:val="18"/>
        </w:rPr>
        <w:t>r</w:t>
      </w:r>
      <w:r w:rsidRPr="009F7684">
        <w:rPr>
          <w:color w:val="211D1E"/>
          <w:szCs w:val="18"/>
        </w:rPr>
        <w:t>), and the height above (</w:t>
      </w:r>
      <w:r w:rsidRPr="009F7684">
        <w:rPr>
          <w:i/>
          <w:iCs/>
          <w:color w:val="211D1E"/>
          <w:szCs w:val="18"/>
        </w:rPr>
        <w:t>h</w:t>
      </w:r>
      <w:r w:rsidRPr="009F7684">
        <w:rPr>
          <w:color w:val="211D1E"/>
          <w:sz w:val="32"/>
          <w:vertAlign w:val="subscript"/>
        </w:rPr>
        <w:t>1</w:t>
      </w:r>
      <w:r w:rsidRPr="009F7684">
        <w:rPr>
          <w:color w:val="211D1E"/>
          <w:szCs w:val="18"/>
        </w:rPr>
        <w:t>) and below (</w:t>
      </w:r>
      <w:r w:rsidRPr="009F7684">
        <w:rPr>
          <w:i/>
          <w:iCs/>
          <w:color w:val="211D1E"/>
          <w:szCs w:val="18"/>
        </w:rPr>
        <w:t>h</w:t>
      </w:r>
      <w:r w:rsidRPr="009F7684">
        <w:rPr>
          <w:color w:val="211D1E"/>
          <w:sz w:val="32"/>
          <w:vertAlign w:val="subscript"/>
        </w:rPr>
        <w:t>2</w:t>
      </w:r>
      <w:r w:rsidRPr="009F7684">
        <w:rPr>
          <w:color w:val="211D1E"/>
          <w:szCs w:val="18"/>
        </w:rPr>
        <w:t xml:space="preserve">) the earth’s surface. </w:t>
      </w:r>
    </w:p>
    <w:p w:rsidR="009F7684" w:rsidRDefault="009F7684" w:rsidP="009F7684">
      <w:pPr>
        <w:pStyle w:val="Default"/>
        <w:rPr>
          <w:color w:val="211D1E"/>
          <w:szCs w:val="18"/>
        </w:rPr>
      </w:pPr>
    </w:p>
    <w:p w:rsidR="009F7684" w:rsidRPr="009F7684" w:rsidRDefault="009F7684" w:rsidP="009F7684">
      <w:pPr>
        <w:pStyle w:val="Default"/>
        <w:jc w:val="center"/>
        <w:rPr>
          <w:szCs w:val="18"/>
        </w:rPr>
      </w:pPr>
      <w:r>
        <w:rPr>
          <w:noProof/>
          <w:szCs w:val="18"/>
        </w:rPr>
        <w:drawing>
          <wp:inline distT="0" distB="0" distL="0" distR="0">
            <wp:extent cx="3733800" cy="3006595"/>
            <wp:effectExtent l="1905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7" cstate="print"/>
                    <a:srcRect/>
                    <a:stretch>
                      <a:fillRect/>
                    </a:stretch>
                  </pic:blipFill>
                  <pic:spPr bwMode="auto">
                    <a:xfrm>
                      <a:off x="0" y="0"/>
                      <a:ext cx="3733800" cy="3006595"/>
                    </a:xfrm>
                    <a:prstGeom prst="rect">
                      <a:avLst/>
                    </a:prstGeom>
                    <a:noFill/>
                    <a:ln w="9525">
                      <a:noFill/>
                      <a:miter lim="800000"/>
                      <a:headEnd/>
                      <a:tailEnd/>
                    </a:ln>
                  </pic:spPr>
                </pic:pic>
              </a:graphicData>
            </a:graphic>
          </wp:inline>
        </w:drawing>
      </w:r>
    </w:p>
    <w:sectPr w:rsidR="009F7684" w:rsidRPr="009F7684"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493</Characters>
  <Application>Microsoft Office Word</Application>
  <DocSecurity>0</DocSecurity>
  <Lines>4</Lines>
  <Paragraphs>1</Paragraphs>
  <ScaleCrop>false</ScaleCrop>
  <Company/>
  <LinksUpToDate>false</LinksUpToDate>
  <CharactersWithSpaces>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2017-03-13T17:58:00Z</dcterms:created>
  <dcterms:modified xsi:type="dcterms:W3CDTF">2017-03-13T17:58:00Z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