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F55E71"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CC560C">
        <w:rPr>
          <w:b/>
          <w:sz w:val="20"/>
          <w:szCs w:val="20"/>
        </w:rPr>
        <w:t>4</w:t>
      </w:r>
    </w:p>
    <w:p w:rsidR="00CC560C" w:rsidRDefault="00CC560C" w:rsidP="00CC560C">
      <w:pPr>
        <w:spacing w:after="0" w:line="240" w:lineRule="auto"/>
        <w:rPr>
          <w:rFonts w:ascii="STIX" w:eastAsia="Times New Roman" w:hAnsi="STIX"/>
          <w:sz w:val="20"/>
          <w:szCs w:val="20"/>
        </w:rPr>
      </w:pPr>
      <w:bookmarkStart w:id="0" w:name="OLE_LINK1"/>
    </w:p>
    <w:p w:rsidR="00CC560C" w:rsidRPr="00CC560C" w:rsidRDefault="00CC560C" w:rsidP="00CC560C">
      <w:pPr>
        <w:spacing w:after="0" w:line="240" w:lineRule="auto"/>
        <w:rPr>
          <w:rFonts w:ascii="STIX" w:eastAsia="Times New Roman" w:hAnsi="STIX"/>
          <w:sz w:val="20"/>
          <w:szCs w:val="20"/>
        </w:rPr>
      </w:pPr>
      <w:r w:rsidRPr="00CC560C">
        <w:rPr>
          <w:rFonts w:ascii="STIX" w:eastAsia="Times New Roman" w:hAnsi="STIX"/>
          <w:sz w:val="20"/>
          <w:szCs w:val="20"/>
        </w:rPr>
        <w:t xml:space="preserve">At </w:t>
      </w:r>
      <w:r w:rsidRPr="00CC560C">
        <w:rPr>
          <w:rFonts w:ascii="STIX" w:eastAsia="Times New Roman" w:hAnsi="STIX"/>
          <w:i/>
          <w:iCs/>
          <w:sz w:val="20"/>
          <w:szCs w:val="20"/>
        </w:rPr>
        <w:t>t</w:t>
      </w:r>
      <w:r w:rsidRPr="00CC560C">
        <w:rPr>
          <w:rFonts w:ascii="STIX" w:eastAsia="Times New Roman" w:hAnsi="STIX"/>
          <w:sz w:val="20"/>
          <w:szCs w:val="20"/>
        </w:rPr>
        <w:t xml:space="preserve"> </w:t>
      </w:r>
      <w:r w:rsidRPr="00CC560C">
        <w:rPr>
          <w:rFonts w:ascii="Courier" w:eastAsia="Times New Roman" w:hAnsi="Courier"/>
          <w:sz w:val="20"/>
          <w:szCs w:val="20"/>
        </w:rPr>
        <w:t>=</w:t>
      </w:r>
      <w:r w:rsidRPr="00CC560C">
        <w:rPr>
          <w:rFonts w:ascii="STIX" w:eastAsia="Times New Roman" w:hAnsi="STIX"/>
          <w:sz w:val="20"/>
          <w:szCs w:val="20"/>
        </w:rPr>
        <w:t xml:space="preserve"> 12 s, the analytical solution is 50.6175 (Example 1.1). The numerical results are:</w:t>
      </w:r>
    </w:p>
    <w:bookmarkEnd w:id="0"/>
    <w:p w:rsidR="00CC560C" w:rsidRPr="00CC560C" w:rsidRDefault="00CC560C" w:rsidP="00CC560C">
      <w:pPr>
        <w:spacing w:after="0" w:line="240" w:lineRule="auto"/>
        <w:rPr>
          <w:rFonts w:ascii="STIX" w:eastAsia="Times New Roman" w:hAnsi="STIX"/>
          <w:sz w:val="20"/>
          <w:szCs w:val="20"/>
        </w:rPr>
      </w:pPr>
    </w:p>
    <w:tbl>
      <w:tblPr>
        <w:tblW w:w="41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
        <w:gridCol w:w="1103"/>
        <w:gridCol w:w="2137"/>
      </w:tblGrid>
      <w:tr w:rsidR="00CC560C" w:rsidRPr="00CC560C" w:rsidTr="00FF7247">
        <w:trPr>
          <w:trHeight w:val="144"/>
        </w:trPr>
        <w:tc>
          <w:tcPr>
            <w:tcW w:w="900"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b/>
                <w:sz w:val="18"/>
                <w:szCs w:val="20"/>
              </w:rPr>
            </w:pPr>
            <w:r w:rsidRPr="00CC560C">
              <w:rPr>
                <w:rFonts w:ascii="STIX" w:eastAsia="Times New Roman" w:hAnsi="STIX" w:cs="STIX MathJax Main"/>
                <w:b/>
                <w:sz w:val="18"/>
                <w:szCs w:val="20"/>
              </w:rPr>
              <w:t>step</w:t>
            </w:r>
          </w:p>
        </w:tc>
        <w:tc>
          <w:tcPr>
            <w:tcW w:w="1103"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b/>
                <w:sz w:val="18"/>
                <w:szCs w:val="20"/>
              </w:rPr>
            </w:pPr>
            <w:r w:rsidRPr="00CC560C">
              <w:rPr>
                <w:rFonts w:ascii="STIX" w:eastAsia="Times New Roman" w:hAnsi="STIX" w:cs="STIX MathJax Main"/>
                <w:b/>
                <w:sz w:val="18"/>
                <w:szCs w:val="20"/>
              </w:rPr>
              <w:t>v</w:t>
            </w:r>
            <w:r w:rsidRPr="00CC560C">
              <w:rPr>
                <w:rFonts w:ascii="Courier" w:eastAsia="Times New Roman" w:hAnsi="Courier" w:cs="STIX MathJax Main"/>
                <w:b/>
                <w:sz w:val="18"/>
                <w:szCs w:val="20"/>
              </w:rPr>
              <w:t>(</w:t>
            </w:r>
            <w:r w:rsidRPr="00CC560C">
              <w:rPr>
                <w:rFonts w:ascii="STIX" w:eastAsia="Times New Roman" w:hAnsi="STIX" w:cs="STIX MathJax Main"/>
                <w:b/>
                <w:sz w:val="18"/>
                <w:szCs w:val="20"/>
              </w:rPr>
              <w:t>12</w:t>
            </w:r>
            <w:r w:rsidRPr="00CC560C">
              <w:rPr>
                <w:rFonts w:ascii="Courier" w:eastAsia="Times New Roman" w:hAnsi="Courier" w:cs="STIX MathJax Main"/>
                <w:b/>
                <w:sz w:val="18"/>
                <w:szCs w:val="20"/>
              </w:rPr>
              <w:t>)</w:t>
            </w:r>
          </w:p>
        </w:tc>
        <w:tc>
          <w:tcPr>
            <w:tcW w:w="2137"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b/>
                <w:sz w:val="18"/>
                <w:szCs w:val="20"/>
              </w:rPr>
            </w:pPr>
            <w:r w:rsidRPr="00CC560C">
              <w:rPr>
                <w:rFonts w:ascii="STIX" w:eastAsia="Times New Roman" w:hAnsi="STIX" w:cs="STIX MathJax Main"/>
                <w:b/>
                <w:sz w:val="18"/>
                <w:szCs w:val="20"/>
              </w:rPr>
              <w:t>absolute relative error</w:t>
            </w:r>
          </w:p>
        </w:tc>
      </w:tr>
      <w:tr w:rsidR="00CC560C" w:rsidRPr="00CC560C" w:rsidTr="00FF7247">
        <w:trPr>
          <w:trHeight w:val="144"/>
        </w:trPr>
        <w:tc>
          <w:tcPr>
            <w:tcW w:w="900"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2</w:t>
            </w:r>
          </w:p>
        </w:tc>
        <w:tc>
          <w:tcPr>
            <w:tcW w:w="1103"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51.6008</w:t>
            </w:r>
          </w:p>
        </w:tc>
        <w:tc>
          <w:tcPr>
            <w:tcW w:w="2137"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1.94</w:t>
            </w:r>
            <w:r w:rsidRPr="00CC560C">
              <w:rPr>
                <w:rFonts w:ascii="Courier" w:eastAsia="Times New Roman" w:hAnsi="Courier" w:cs="STIX MathJax Main"/>
                <w:sz w:val="18"/>
                <w:szCs w:val="20"/>
              </w:rPr>
              <w:t>%</w:t>
            </w:r>
          </w:p>
        </w:tc>
      </w:tr>
      <w:tr w:rsidR="00CC560C" w:rsidRPr="00CC560C" w:rsidTr="00FF7247">
        <w:trPr>
          <w:trHeight w:val="144"/>
        </w:trPr>
        <w:tc>
          <w:tcPr>
            <w:tcW w:w="900"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1</w:t>
            </w:r>
          </w:p>
        </w:tc>
        <w:tc>
          <w:tcPr>
            <w:tcW w:w="1103"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51.2008</w:t>
            </w:r>
          </w:p>
        </w:tc>
        <w:tc>
          <w:tcPr>
            <w:tcW w:w="2137"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1.15</w:t>
            </w:r>
            <w:r w:rsidRPr="00CC560C">
              <w:rPr>
                <w:rFonts w:ascii="Courier" w:eastAsia="Times New Roman" w:hAnsi="Courier" w:cs="STIX MathJax Main"/>
                <w:sz w:val="18"/>
                <w:szCs w:val="20"/>
              </w:rPr>
              <w:t>%</w:t>
            </w:r>
          </w:p>
        </w:tc>
      </w:tr>
      <w:tr w:rsidR="00CC560C" w:rsidRPr="00CC560C" w:rsidTr="00FF7247">
        <w:trPr>
          <w:trHeight w:val="144"/>
        </w:trPr>
        <w:tc>
          <w:tcPr>
            <w:tcW w:w="900"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0.5</w:t>
            </w:r>
          </w:p>
        </w:tc>
        <w:tc>
          <w:tcPr>
            <w:tcW w:w="1103"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50.9259</w:t>
            </w:r>
          </w:p>
        </w:tc>
        <w:tc>
          <w:tcPr>
            <w:tcW w:w="2137" w:type="dxa"/>
            <w:shd w:val="clear" w:color="auto" w:fill="auto"/>
            <w:noWrap/>
            <w:vAlign w:val="center"/>
          </w:tcPr>
          <w:p w:rsidR="00CC560C" w:rsidRPr="00CC560C" w:rsidRDefault="00CC560C" w:rsidP="00CC560C">
            <w:pPr>
              <w:spacing w:after="0" w:line="240" w:lineRule="auto"/>
              <w:jc w:val="center"/>
              <w:rPr>
                <w:rFonts w:ascii="STIX MathJax Main" w:eastAsia="Times New Roman" w:hAnsi="STIX MathJax Main" w:cs="STIX MathJax Main"/>
                <w:sz w:val="18"/>
                <w:szCs w:val="20"/>
              </w:rPr>
            </w:pPr>
            <w:r w:rsidRPr="00CC560C">
              <w:rPr>
                <w:rFonts w:ascii="STIX" w:eastAsia="Times New Roman" w:hAnsi="STIX" w:cs="STIX MathJax Main"/>
                <w:sz w:val="18"/>
                <w:szCs w:val="20"/>
              </w:rPr>
              <w:t>0.61</w:t>
            </w:r>
            <w:r w:rsidRPr="00CC560C">
              <w:rPr>
                <w:rFonts w:ascii="Courier" w:eastAsia="Times New Roman" w:hAnsi="Courier" w:cs="STIX MathJax Main"/>
                <w:sz w:val="18"/>
                <w:szCs w:val="20"/>
              </w:rPr>
              <w:t>%</w:t>
            </w:r>
          </w:p>
        </w:tc>
      </w:tr>
    </w:tbl>
    <w:p w:rsidR="00CC560C" w:rsidRPr="00CC560C" w:rsidRDefault="00CC560C" w:rsidP="00CC560C">
      <w:pPr>
        <w:spacing w:after="0" w:line="240" w:lineRule="auto"/>
        <w:rPr>
          <w:rFonts w:ascii="STIX" w:eastAsia="Times New Roman" w:hAnsi="STIX"/>
          <w:sz w:val="20"/>
          <w:szCs w:val="20"/>
        </w:rPr>
      </w:pPr>
    </w:p>
    <w:p w:rsidR="00CC560C" w:rsidRPr="00CC560C" w:rsidRDefault="00CC560C" w:rsidP="00CC560C">
      <w:pPr>
        <w:spacing w:after="0" w:line="240" w:lineRule="auto"/>
        <w:rPr>
          <w:rFonts w:ascii="STIX" w:eastAsia="Times New Roman" w:hAnsi="STIX"/>
          <w:sz w:val="20"/>
          <w:szCs w:val="20"/>
        </w:rPr>
      </w:pPr>
      <w:r w:rsidRPr="00CC560C">
        <w:rPr>
          <w:rFonts w:ascii="STIX" w:eastAsia="Times New Roman" w:hAnsi="STIX"/>
          <w:sz w:val="20"/>
          <w:szCs w:val="20"/>
        </w:rPr>
        <w:t>where the relative error is calculated with</w:t>
      </w:r>
    </w:p>
    <w:p w:rsidR="00CC560C" w:rsidRPr="00CC560C" w:rsidRDefault="00CC560C" w:rsidP="00CC560C">
      <w:pPr>
        <w:spacing w:after="0" w:line="240" w:lineRule="auto"/>
        <w:rPr>
          <w:rFonts w:ascii="STIX" w:eastAsia="Times New Roman" w:hAnsi="STIX"/>
          <w:sz w:val="20"/>
          <w:szCs w:val="20"/>
        </w:rPr>
      </w:pPr>
    </w:p>
    <w:p w:rsidR="00CC560C" w:rsidRPr="00CC560C" w:rsidRDefault="00CC560C" w:rsidP="00CC560C">
      <w:pPr>
        <w:spacing w:after="0" w:line="240" w:lineRule="auto"/>
        <w:rPr>
          <w:rFonts w:ascii="STIX" w:eastAsia="Times New Roman" w:hAnsi="STIX"/>
          <w:sz w:val="20"/>
          <w:szCs w:val="20"/>
        </w:rPr>
      </w:pPr>
      <w:r w:rsidRPr="00CC560C">
        <w:rPr>
          <w:rFonts w:ascii="STIX MathJax Main" w:eastAsia="Times New Roman" w:hAnsi="STIX MathJax Main"/>
          <w:position w:val="-30"/>
          <w:sz w:val="20"/>
          <w:szCs w:val="20"/>
        </w:rPr>
        <w:object w:dxaOrig="5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5" type="#_x0000_t75" style="width:275.25pt;height:36pt" o:ole="">
            <v:imagedata r:id="rId7" o:title=""/>
          </v:shape>
          <o:OLEObject Type="Embed" ProgID="Equation.DSMT4" ShapeID="_x0000_i1525" DrawAspect="Content" ObjectID="_1552286326" r:id="rId8"/>
        </w:object>
      </w:r>
    </w:p>
    <w:p w:rsidR="00CC560C" w:rsidRPr="00CC560C" w:rsidRDefault="00CC560C" w:rsidP="00CC560C">
      <w:pPr>
        <w:spacing w:after="0" w:line="240" w:lineRule="auto"/>
        <w:rPr>
          <w:rFonts w:ascii="STIX" w:eastAsia="Times New Roman" w:hAnsi="STIX"/>
          <w:sz w:val="20"/>
          <w:szCs w:val="20"/>
        </w:rPr>
      </w:pPr>
    </w:p>
    <w:p w:rsidR="00CC560C" w:rsidRPr="00CC560C" w:rsidRDefault="00CC560C" w:rsidP="00CC560C">
      <w:pPr>
        <w:spacing w:after="0" w:line="240" w:lineRule="auto"/>
        <w:rPr>
          <w:rFonts w:ascii="STIX" w:eastAsia="Times New Roman" w:hAnsi="STIX"/>
          <w:sz w:val="20"/>
          <w:szCs w:val="20"/>
        </w:rPr>
      </w:pPr>
      <w:r w:rsidRPr="00CC560C">
        <w:rPr>
          <w:rFonts w:ascii="STIX" w:eastAsia="Times New Roman" w:hAnsi="STIX"/>
          <w:sz w:val="20"/>
          <w:szCs w:val="20"/>
        </w:rPr>
        <w:t>The error versus step size can be plotted as</w:t>
      </w:r>
    </w:p>
    <w:p w:rsidR="00CC560C" w:rsidRPr="00CC560C" w:rsidRDefault="00CC560C" w:rsidP="00CC560C">
      <w:pPr>
        <w:spacing w:after="0" w:line="240" w:lineRule="auto"/>
        <w:rPr>
          <w:rFonts w:ascii="STIX" w:eastAsia="Times New Roman" w:hAnsi="STIX"/>
          <w:sz w:val="20"/>
          <w:szCs w:val="20"/>
        </w:rPr>
      </w:pPr>
    </w:p>
    <w:p w:rsidR="00CC560C" w:rsidRPr="00CC560C" w:rsidRDefault="00CC560C" w:rsidP="00CC560C">
      <w:pPr>
        <w:spacing w:after="0" w:line="240" w:lineRule="auto"/>
        <w:rPr>
          <w:rFonts w:ascii="STIX" w:eastAsia="Times New Roman" w:hAnsi="STIX"/>
          <w:sz w:val="20"/>
          <w:szCs w:val="20"/>
        </w:rPr>
      </w:pPr>
      <w:r w:rsidRPr="00CC560C">
        <w:rPr>
          <w:rFonts w:ascii="STIX MathJax Main" w:eastAsia="Times New Roman" w:hAnsi="STIX MathJax Main"/>
          <w:noProof/>
          <w:sz w:val="20"/>
          <w:szCs w:val="20"/>
        </w:rPr>
        <w:drawing>
          <wp:inline distT="0" distB="0" distL="0" distR="0">
            <wp:extent cx="3542030" cy="1344930"/>
            <wp:effectExtent l="0" t="0" r="1270" b="7620"/>
            <wp:docPr id="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542030" cy="1344930"/>
                    </a:xfrm>
                    <a:prstGeom prst="rect">
                      <a:avLst/>
                    </a:prstGeom>
                    <a:noFill/>
                    <a:ln>
                      <a:noFill/>
                    </a:ln>
                  </pic:spPr>
                </pic:pic>
              </a:graphicData>
            </a:graphic>
          </wp:inline>
        </w:drawing>
      </w:r>
    </w:p>
    <w:p w:rsidR="00CC560C" w:rsidRPr="00CC560C" w:rsidRDefault="00CC560C" w:rsidP="00CC560C">
      <w:pPr>
        <w:spacing w:after="0" w:line="240" w:lineRule="auto"/>
        <w:rPr>
          <w:rFonts w:ascii="STIX" w:eastAsia="Times New Roman" w:hAnsi="STIX"/>
          <w:sz w:val="20"/>
          <w:szCs w:val="20"/>
        </w:rPr>
      </w:pPr>
    </w:p>
    <w:p w:rsidR="00CC560C" w:rsidRPr="00CC560C" w:rsidRDefault="00CC560C" w:rsidP="00CC560C">
      <w:pPr>
        <w:spacing w:after="0" w:line="240" w:lineRule="auto"/>
        <w:rPr>
          <w:rFonts w:ascii="STIX" w:eastAsia="Times New Roman" w:hAnsi="STIX"/>
          <w:sz w:val="20"/>
          <w:szCs w:val="20"/>
        </w:rPr>
      </w:pPr>
      <w:r w:rsidRPr="00CC560C">
        <w:rPr>
          <w:rFonts w:ascii="STIX" w:eastAsia="Times New Roman" w:hAnsi="STIX"/>
          <w:sz w:val="20"/>
          <w:szCs w:val="20"/>
        </w:rPr>
        <w:t>Thus, halving the step size approximately halves the error.</w:t>
      </w:r>
    </w:p>
    <w:p w:rsidR="001B2705" w:rsidRPr="001B2705" w:rsidRDefault="001B2705" w:rsidP="00CC560C">
      <w:pPr>
        <w:spacing w:after="0" w:line="240" w:lineRule="auto"/>
      </w:pPr>
    </w:p>
    <w:sectPr w:rsidR="001B2705" w:rsidRPr="001B270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322</Characters>
  <Application>Microsoft Office Word</Application>
  <DocSecurity>0</DocSecurity>
  <Lines>2</Lines>
  <Paragraphs>1</Paragraphs>
  <ScaleCrop>false</ScaleCrop>
  <Company/>
  <LinksUpToDate>false</LinksUpToDate>
  <CharactersWithSpaces>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2017-03-29T15:44:00Z</dcterms:created>
  <dcterms:modified xsi:type="dcterms:W3CDTF">2017-03-29T15:44:00Z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