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F55E71"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536358">
        <w:rPr>
          <w:b/>
          <w:sz w:val="20"/>
          <w:szCs w:val="20"/>
        </w:rPr>
        <w:t>5</w:t>
      </w:r>
    </w:p>
    <w:p w:rsidR="00CC560C" w:rsidRDefault="00CC560C" w:rsidP="00CC560C">
      <w:pPr>
        <w:spacing w:after="0" w:line="240" w:lineRule="auto"/>
        <w:rPr>
          <w:rFonts w:ascii="STIX" w:eastAsia="Times New Roman" w:hAnsi="STIX"/>
          <w:sz w:val="20"/>
          <w:szCs w:val="20"/>
        </w:rPr>
      </w:pPr>
      <w:bookmarkStart w:id="0" w:name="OLE_LINK1"/>
    </w:p>
    <w:bookmarkEnd w:id="0"/>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b/>
          <w:sz w:val="20"/>
          <w:szCs w:val="20"/>
        </w:rPr>
        <w:t>(a)</w:t>
      </w:r>
      <w:r w:rsidRPr="00536358">
        <w:rPr>
          <w:rFonts w:ascii="STIX" w:eastAsia="Times New Roman" w:hAnsi="STIX"/>
          <w:sz w:val="20"/>
          <w:szCs w:val="20"/>
        </w:rPr>
        <w:t xml:space="preserve"> The force balance is</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4"/>
          <w:sz w:val="20"/>
          <w:szCs w:val="20"/>
        </w:rPr>
        <w:object w:dxaOrig="128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2.25pt" o:ole="">
            <v:imagedata r:id="rId7" o:title=""/>
          </v:shape>
          <o:OLEObject Type="Embed" ProgID="Equation.DSMT4" ShapeID="_x0000_i1025" DrawAspect="Content" ObjectID="_1552649979" r:id="rId8"/>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 xml:space="preserve">Applying </w:t>
      </w:r>
      <w:smartTag w:uri="urn:schemas-microsoft-com:office:smarttags" w:element="place">
        <w:r w:rsidRPr="00536358">
          <w:rPr>
            <w:rFonts w:ascii="STIX" w:eastAsia="Times New Roman" w:hAnsi="STIX"/>
            <w:sz w:val="20"/>
            <w:szCs w:val="20"/>
          </w:rPr>
          <w:t>Laplace</w:t>
        </w:r>
      </w:smartTag>
      <w:r w:rsidRPr="00536358">
        <w:rPr>
          <w:rFonts w:ascii="STIX" w:eastAsia="Times New Roman" w:hAnsi="STIX"/>
          <w:sz w:val="20"/>
          <w:szCs w:val="20"/>
        </w:rPr>
        <w:t xml:space="preserve"> transforms,</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4"/>
          <w:sz w:val="20"/>
          <w:szCs w:val="20"/>
        </w:rPr>
        <w:object w:dxaOrig="1980" w:dyaOrig="639">
          <v:shape id="_x0000_i1026" type="#_x0000_t75" style="width:99pt;height:32.25pt" o:ole="">
            <v:imagedata r:id="rId9" o:title=""/>
          </v:shape>
          <o:OLEObject Type="Embed" ProgID="Equation.DSMT4" ShapeID="_x0000_i1026" DrawAspect="Content" ObjectID="_1552649980" r:id="rId10"/>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 xml:space="preserve">Solve for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8"/>
          <w:sz w:val="20"/>
          <w:szCs w:val="20"/>
        </w:rPr>
        <w:object w:dxaOrig="2600" w:dyaOrig="680">
          <v:shape id="_x0000_i1027" type="#_x0000_t75" style="width:129.75pt;height:33.75pt" o:ole="">
            <v:imagedata r:id="rId11" o:title=""/>
          </v:shape>
          <o:OLEObject Type="Embed" ProgID="Equation.DSMT4" ShapeID="_x0000_i1027" DrawAspect="Content" ObjectID="_1552649981" r:id="rId12"/>
        </w:object>
      </w:r>
      <w:r w:rsidRPr="00536358">
        <w:rPr>
          <w:rFonts w:ascii="STIX" w:eastAsia="Times New Roman" w:hAnsi="STIX"/>
          <w:sz w:val="20"/>
          <w:szCs w:val="20"/>
        </w:rPr>
        <w:t xml:space="preserve"> </w:t>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t>(1)</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The first term to the right of the equal sign can be evaluated by a partial fraction expansion,</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8"/>
          <w:sz w:val="20"/>
          <w:szCs w:val="20"/>
        </w:rPr>
        <w:object w:dxaOrig="2640" w:dyaOrig="680">
          <v:shape id="_x0000_i1028" type="#_x0000_t75" style="width:132pt;height:33.75pt" o:ole="">
            <v:imagedata r:id="rId13" o:title=""/>
          </v:shape>
          <o:OLEObject Type="Embed" ProgID="Equation.DSMT4" ShapeID="_x0000_i1028" DrawAspect="Content" ObjectID="_1552649982" r:id="rId14"/>
        </w:object>
      </w:r>
      <w:r w:rsidRPr="00536358">
        <w:rPr>
          <w:rFonts w:ascii="STIX" w:eastAsia="Times New Roman" w:hAnsi="STIX"/>
          <w:sz w:val="20"/>
          <w:szCs w:val="20"/>
        </w:rPr>
        <w:t xml:space="preserve"> </w:t>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r>
      <w:r w:rsidRPr="00536358">
        <w:rPr>
          <w:rFonts w:ascii="STIX" w:eastAsia="Times New Roman" w:hAnsi="STIX"/>
          <w:sz w:val="20"/>
          <w:szCs w:val="20"/>
        </w:rPr>
        <w:tab/>
        <w:t>(2)</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8"/>
          <w:sz w:val="20"/>
          <w:szCs w:val="20"/>
        </w:rPr>
        <w:object w:dxaOrig="3019" w:dyaOrig="680">
          <v:shape id="_x0000_i1029" type="#_x0000_t75" style="width:150.75pt;height:33.75pt" o:ole="">
            <v:imagedata r:id="rId15" o:title=""/>
          </v:shape>
          <o:OLEObject Type="Embed" ProgID="Equation.DSMT4" ShapeID="_x0000_i1029" DrawAspect="Content" ObjectID="_1552649983" r:id="rId16"/>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Equating like terms in the numerators yields</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42"/>
          <w:sz w:val="20"/>
          <w:szCs w:val="20"/>
        </w:rPr>
        <w:object w:dxaOrig="980" w:dyaOrig="960">
          <v:shape id="_x0000_i1030" type="#_x0000_t75" style="width:48.75pt;height:48pt" o:ole="">
            <v:imagedata r:id="rId17" o:title=""/>
          </v:shape>
          <o:OLEObject Type="Embed" ProgID="Equation.DSMT4" ShapeID="_x0000_i1030" DrawAspect="Content" ObjectID="_1552649984" r:id="rId18"/>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Therefore,</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24"/>
          <w:sz w:val="20"/>
          <w:szCs w:val="20"/>
        </w:rPr>
        <w:object w:dxaOrig="2400" w:dyaOrig="639">
          <v:shape id="_x0000_i1031" type="#_x0000_t75" style="width:120pt;height:32.25pt" o:ole="">
            <v:imagedata r:id="rId19" o:title=""/>
          </v:shape>
          <o:OLEObject Type="Embed" ProgID="Equation.DSMT4" ShapeID="_x0000_i1031" DrawAspect="Content" ObjectID="_1552649985" r:id="rId20"/>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Default="00536358" w:rsidP="00536358">
      <w:pPr>
        <w:rPr>
          <w:rFonts w:ascii="STIX" w:hAnsi="STIX" w:cs="STIX"/>
          <w:i/>
          <w:sz w:val="20"/>
          <w:szCs w:val="20"/>
        </w:rPr>
        <w:sectPr w:rsidR="00536358" w:rsidSect="00A24CE3">
          <w:footerReference w:type="default" r:id="rId2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lastRenderedPageBreak/>
        <w:t>These results can be substituted into Eq. (2), and the result can be substituted back into Eq. (1) to give</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3220" w:dyaOrig="639">
          <v:shape id="_x0000_i1032" type="#_x0000_t75" style="width:161.25pt;height:32.25pt" o:ole="">
            <v:imagedata r:id="rId22" o:title=""/>
          </v:shape>
          <o:OLEObject Type="Embed" ProgID="Equation.DSMT4" ShapeID="_x0000_i1032" DrawAspect="Content" ObjectID="_1552649986" r:id="rId23"/>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 xml:space="preserve">Applying inverse </w:t>
      </w:r>
      <w:smartTag w:uri="urn:schemas-microsoft-com:office:smarttags" w:element="place">
        <w:r w:rsidRPr="00536358">
          <w:rPr>
            <w:rFonts w:ascii="STIX" w:eastAsia="Times New Roman" w:hAnsi="STIX"/>
            <w:sz w:val="20"/>
            <w:szCs w:val="24"/>
          </w:rPr>
          <w:t>Laplace</w:t>
        </w:r>
      </w:smartTag>
      <w:r w:rsidRPr="00536358">
        <w:rPr>
          <w:rFonts w:ascii="STIX" w:eastAsia="Times New Roman" w:hAnsi="STIX"/>
          <w:sz w:val="20"/>
          <w:szCs w:val="24"/>
        </w:rPr>
        <w:t xml:space="preserve"> transforms yields</w:t>
      </w:r>
      <w:r w:rsidRPr="00536358">
        <w:rPr>
          <w:rFonts w:ascii="STIX" w:eastAsia="Times New Roman" w:hAnsi="STIX"/>
          <w:sz w:val="20"/>
          <w:szCs w:val="24"/>
        </w:rPr>
        <w:tab/>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3220" w:dyaOrig="639">
          <v:shape id="_x0000_i1033" type="#_x0000_t75" style="width:161.25pt;height:32.25pt" o:ole="">
            <v:imagedata r:id="rId24" o:title=""/>
          </v:shape>
          <o:OLEObject Type="Embed" ProgID="Equation.DSMT4" ShapeID="_x0000_i1033" DrawAspect="Content" ObjectID="_1552649987" r:id="rId25"/>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or</w:t>
      </w: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3200" w:dyaOrig="639">
          <v:shape id="_x0000_i1034" type="#_x0000_t75" style="width:159.75pt;height:32.25pt" o:ole="">
            <v:imagedata r:id="rId26" o:title=""/>
          </v:shape>
          <o:OLEObject Type="Embed" ProgID="Equation.DSMT4" ShapeID="_x0000_i1034" DrawAspect="Content" ObjectID="_1552649988" r:id="rId27"/>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 xml:space="preserve">where the first term to the right of the equal sign is the general solution and the second is the particular solution. For our case, </w:t>
      </w:r>
      <w:r w:rsidRPr="00536358">
        <w:rPr>
          <w:rFonts w:ascii="STIX" w:eastAsia="Times New Roman" w:hAnsi="STIX"/>
          <w:i/>
          <w:sz w:val="20"/>
          <w:szCs w:val="24"/>
        </w:rPr>
        <w:t>v</w:t>
      </w:r>
      <w:r w:rsidRPr="00536358">
        <w:rPr>
          <w:rFonts w:ascii="Courier" w:eastAsia="Times New Roman" w:hAnsi="Courier"/>
          <w:sz w:val="20"/>
          <w:szCs w:val="24"/>
        </w:rPr>
        <w:t>(</w:t>
      </w:r>
      <w:r w:rsidRPr="00536358">
        <w:rPr>
          <w:rFonts w:ascii="STIX" w:eastAsia="Times New Roman" w:hAnsi="STIX"/>
          <w:sz w:val="20"/>
          <w:szCs w:val="24"/>
        </w:rPr>
        <w:t>0</w:t>
      </w:r>
      <w:r w:rsidRPr="00536358">
        <w:rPr>
          <w:rFonts w:ascii="Courier" w:eastAsia="Times New Roman" w:hAnsi="Courier"/>
          <w:sz w:val="20"/>
          <w:szCs w:val="24"/>
        </w:rPr>
        <w:t>) =</w:t>
      </w:r>
      <w:r w:rsidRPr="00536358">
        <w:rPr>
          <w:rFonts w:ascii="STIX" w:eastAsia="Times New Roman" w:hAnsi="STIX"/>
          <w:sz w:val="20"/>
          <w:szCs w:val="24"/>
        </w:rPr>
        <w:t xml:space="preserve"> 0, so the final solution is</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1939" w:dyaOrig="639">
          <v:shape id="_x0000_i1035" type="#_x0000_t75" style="width:96.75pt;height:32.25pt" o:ole="">
            <v:imagedata r:id="rId28" o:title=""/>
          </v:shape>
          <o:OLEObject Type="Embed" ProgID="Equation.DSMT4" ShapeID="_x0000_i1035" DrawAspect="Content" ObjectID="_1552649989" r:id="rId29"/>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b/>
          <w:sz w:val="20"/>
          <w:szCs w:val="24"/>
        </w:rPr>
        <w:t xml:space="preserve">Alternative solution: </w:t>
      </w:r>
      <w:r w:rsidRPr="00536358">
        <w:rPr>
          <w:rFonts w:ascii="STIX" w:eastAsia="Times New Roman" w:hAnsi="STIX"/>
          <w:sz w:val="20"/>
          <w:szCs w:val="24"/>
        </w:rPr>
        <w:t>Another way to obtain solutions is to use separation of variables,</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56"/>
          <w:sz w:val="20"/>
          <w:szCs w:val="24"/>
        </w:rPr>
        <w:object w:dxaOrig="1800" w:dyaOrig="960">
          <v:shape id="_x0000_i1036" type="#_x0000_t75" style="width:90pt;height:48pt" o:ole="">
            <v:imagedata r:id="rId30" o:title=""/>
          </v:shape>
          <o:OLEObject Type="Embed" ProgID="Equation.DSMT4" ShapeID="_x0000_i1036" DrawAspect="Content" ObjectID="_1552649990" r:id="rId31"/>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The integrals can be evaluated as</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2140" w:dyaOrig="999">
          <v:shape id="_x0000_i1037" type="#_x0000_t75" style="width:107.25pt;height:50.25pt" o:ole="">
            <v:imagedata r:id="rId32" o:title=""/>
          </v:shape>
          <o:OLEObject Type="Embed" ProgID="Equation.DSMT4" ShapeID="_x0000_i1037" DrawAspect="Content" ObjectID="_1552649991" r:id="rId33"/>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 xml:space="preserve">where </w:t>
      </w:r>
      <w:r w:rsidRPr="00536358">
        <w:rPr>
          <w:rFonts w:ascii="STIX" w:eastAsia="Times New Roman" w:hAnsi="STIX"/>
          <w:i/>
          <w:sz w:val="20"/>
          <w:szCs w:val="24"/>
        </w:rPr>
        <w:t>C</w:t>
      </w:r>
      <w:r w:rsidRPr="00536358">
        <w:rPr>
          <w:rFonts w:ascii="STIX" w:eastAsia="Times New Roman" w:hAnsi="STIX"/>
          <w:sz w:val="20"/>
          <w:szCs w:val="24"/>
        </w:rPr>
        <w:t xml:space="preserve"> </w:t>
      </w:r>
      <w:r w:rsidRPr="00536358">
        <w:rPr>
          <w:rFonts w:ascii="Courier" w:eastAsia="Times New Roman" w:hAnsi="Courier"/>
          <w:sz w:val="20"/>
          <w:szCs w:val="24"/>
        </w:rPr>
        <w:t>=</w:t>
      </w:r>
      <w:r w:rsidRPr="00536358">
        <w:rPr>
          <w:rFonts w:ascii="STIX" w:eastAsia="Times New Roman" w:hAnsi="STIX"/>
          <w:sz w:val="20"/>
          <w:szCs w:val="24"/>
        </w:rPr>
        <w:t xml:space="preserve"> a constant of integration, which can be evaluated by applying the initial condition</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2120" w:dyaOrig="999">
          <v:shape id="_x0000_i1038" type="#_x0000_t75" style="width:105.75pt;height:50.25pt" o:ole="">
            <v:imagedata r:id="rId34" o:title=""/>
          </v:shape>
          <o:OLEObject Type="Embed" ProgID="Equation.DSMT4" ShapeID="_x0000_i1038" DrawAspect="Content" ObjectID="_1552649992" r:id="rId35"/>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Default="00536358" w:rsidP="00536358">
      <w:pPr>
        <w:rPr>
          <w:rFonts w:ascii="STIX" w:hAnsi="STIX" w:cs="STIX"/>
          <w:i/>
          <w:sz w:val="20"/>
          <w:szCs w:val="20"/>
        </w:rPr>
        <w:sectPr w:rsidR="00536358"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lastRenderedPageBreak/>
        <w:t>which can be substituted back into the solution</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3440" w:dyaOrig="999">
          <v:shape id="_x0000_i1039" type="#_x0000_t75" style="width:171.75pt;height:50.25pt" o:ole="">
            <v:imagedata r:id="rId36" o:title=""/>
          </v:shape>
          <o:OLEObject Type="Embed" ProgID="Equation.DSMT4" ShapeID="_x0000_i1039" DrawAspect="Content" ObjectID="_1552649993" r:id="rId37"/>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 xml:space="preserve">This result can be rearranged algebraically to solve for </w:t>
      </w:r>
      <w:r w:rsidRPr="00536358">
        <w:rPr>
          <w:rFonts w:ascii="STIX" w:eastAsia="Times New Roman" w:hAnsi="STIX"/>
          <w:i/>
          <w:sz w:val="20"/>
          <w:szCs w:val="24"/>
        </w:rPr>
        <w:t>v</w:t>
      </w:r>
      <w:r w:rsidRPr="00536358">
        <w:rPr>
          <w:rFonts w:ascii="STIX" w:eastAsia="Times New Roman" w:hAnsi="STIX"/>
          <w:sz w:val="20"/>
          <w:szCs w:val="24"/>
        </w:rPr>
        <w:t>,</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3200" w:dyaOrig="639">
          <v:shape id="_x0000_i1040" type="#_x0000_t75" style="width:159.75pt;height:32.25pt" o:ole="">
            <v:imagedata r:id="rId38" o:title=""/>
          </v:shape>
          <o:OLEObject Type="Embed" ProgID="Equation.DSMT4" ShapeID="_x0000_i1040" DrawAspect="Content" ObjectID="_1552649994" r:id="rId39"/>
        </w:objec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w:eastAsia="Times New Roman" w:hAnsi="STIX"/>
          <w:sz w:val="20"/>
          <w:szCs w:val="24"/>
        </w:rPr>
        <w:t xml:space="preserve">where the first term to the right of the equal sign is the general solution and the second is the particular solution. For our case, </w:t>
      </w:r>
      <w:r w:rsidRPr="00536358">
        <w:rPr>
          <w:rFonts w:ascii="STIX" w:eastAsia="Times New Roman" w:hAnsi="STIX"/>
          <w:i/>
          <w:sz w:val="20"/>
          <w:szCs w:val="24"/>
        </w:rPr>
        <w:t>v</w:t>
      </w:r>
      <w:r w:rsidRPr="00536358">
        <w:rPr>
          <w:rFonts w:ascii="Courier" w:eastAsia="Times New Roman" w:hAnsi="Courier"/>
          <w:sz w:val="20"/>
          <w:szCs w:val="24"/>
        </w:rPr>
        <w:t>(</w:t>
      </w:r>
      <w:r w:rsidRPr="00536358">
        <w:rPr>
          <w:rFonts w:ascii="STIX" w:eastAsia="Times New Roman" w:hAnsi="STIX"/>
          <w:sz w:val="20"/>
          <w:szCs w:val="24"/>
        </w:rPr>
        <w:t>0</w:t>
      </w:r>
      <w:r w:rsidRPr="00536358">
        <w:rPr>
          <w:rFonts w:ascii="Courier" w:eastAsia="Times New Roman" w:hAnsi="Courier"/>
          <w:sz w:val="20"/>
          <w:szCs w:val="24"/>
        </w:rPr>
        <w:t>) =</w:t>
      </w:r>
      <w:r w:rsidRPr="00536358">
        <w:rPr>
          <w:rFonts w:ascii="STIX" w:eastAsia="Times New Roman" w:hAnsi="STIX"/>
          <w:sz w:val="20"/>
          <w:szCs w:val="24"/>
        </w:rPr>
        <w:t xml:space="preserve"> 0, so the final solution is</w:t>
      </w:r>
    </w:p>
    <w:p w:rsidR="00536358" w:rsidRPr="00536358" w:rsidRDefault="00536358" w:rsidP="00536358">
      <w:pPr>
        <w:spacing w:after="0" w:line="240" w:lineRule="auto"/>
        <w:rPr>
          <w:rFonts w:ascii="STIX" w:eastAsia="Times New Roman" w:hAnsi="STIX"/>
          <w:sz w:val="20"/>
          <w:szCs w:val="24"/>
        </w:rPr>
      </w:pPr>
    </w:p>
    <w:p w:rsidR="00536358" w:rsidRPr="00536358" w:rsidRDefault="00536358" w:rsidP="00536358">
      <w:pPr>
        <w:spacing w:after="0" w:line="240" w:lineRule="auto"/>
        <w:rPr>
          <w:rFonts w:ascii="STIX" w:eastAsia="Times New Roman" w:hAnsi="STIX"/>
          <w:sz w:val="20"/>
          <w:szCs w:val="24"/>
        </w:rPr>
      </w:pPr>
      <w:r w:rsidRPr="00536358">
        <w:rPr>
          <w:rFonts w:ascii="STIX MathJax Main" w:eastAsia="Times New Roman" w:hAnsi="STIX MathJax Main"/>
          <w:position w:val="-24"/>
          <w:sz w:val="20"/>
          <w:szCs w:val="24"/>
        </w:rPr>
        <w:object w:dxaOrig="1939" w:dyaOrig="639">
          <v:shape id="_x0000_i1041" type="#_x0000_t75" style="width:96.75pt;height:32.25pt" o:ole="">
            <v:imagedata r:id="rId40" o:title=""/>
          </v:shape>
          <o:OLEObject Type="Embed" ProgID="Equation.DSMT4" ShapeID="_x0000_i1041" DrawAspect="Content" ObjectID="_1552649995" r:id="rId41"/>
        </w:object>
      </w:r>
      <w:r w:rsidRPr="00536358">
        <w:rPr>
          <w:rFonts w:ascii="STIX" w:eastAsia="Times New Roman" w:hAnsi="STIX"/>
          <w:sz w:val="20"/>
          <w:szCs w:val="24"/>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b/>
          <w:sz w:val="20"/>
          <w:szCs w:val="20"/>
        </w:rPr>
        <w:t>(b)</w:t>
      </w:r>
      <w:r w:rsidRPr="00536358">
        <w:rPr>
          <w:rFonts w:ascii="STIX" w:eastAsia="Times New Roman" w:hAnsi="STIX"/>
          <w:sz w:val="20"/>
          <w:szCs w:val="20"/>
        </w:rPr>
        <w:t xml:space="preserve"> The numerical solution can be implemented as</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30"/>
          <w:sz w:val="20"/>
          <w:szCs w:val="20"/>
        </w:rPr>
        <w:object w:dxaOrig="3519" w:dyaOrig="720">
          <v:shape id="_x0000_i1042" type="#_x0000_t75" style="width:176.25pt;height:36pt" o:ole="">
            <v:imagedata r:id="rId42" o:title=""/>
          </v:shape>
          <o:OLEObject Type="Embed" ProgID="Equation.DSMT4" ShapeID="_x0000_i1042" DrawAspect="Content" ObjectID="_1552649996" r:id="rId43"/>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position w:val="-30"/>
          <w:sz w:val="20"/>
          <w:szCs w:val="20"/>
        </w:rPr>
        <w:object w:dxaOrig="4580" w:dyaOrig="720">
          <v:shape id="_x0000_i1043" type="#_x0000_t75" style="width:228.75pt;height:36pt" o:ole="">
            <v:imagedata r:id="rId44" o:title=""/>
          </v:shape>
          <o:OLEObject Type="Embed" ProgID="Equation.DSMT4" ShapeID="_x0000_i1043" DrawAspect="Content" ObjectID="_1552649997" r:id="rId45"/>
        </w:object>
      </w:r>
      <w:r w:rsidRPr="00536358">
        <w:rPr>
          <w:rFonts w:ascii="STIX" w:eastAsia="Times New Roman" w:hAnsi="STIX"/>
          <w:sz w:val="20"/>
          <w:szCs w:val="20"/>
        </w:rPr>
        <w:t xml:space="preserve"> </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The computation can be continued and the results summarized and plotted as:</w:t>
      </w:r>
    </w:p>
    <w:p w:rsidR="00536358" w:rsidRPr="00536358" w:rsidRDefault="00536358" w:rsidP="00536358">
      <w:pPr>
        <w:spacing w:after="0" w:line="240" w:lineRule="auto"/>
        <w:rPr>
          <w:rFonts w:ascii="STIX" w:eastAsia="Times New Roman" w:hAnsi="STIX"/>
          <w:sz w:val="20"/>
          <w:szCs w:val="20"/>
        </w:rPr>
      </w:pPr>
    </w:p>
    <w:tbl>
      <w:tblPr>
        <w:tblW w:w="3026" w:type="dxa"/>
        <w:tblInd w:w="250" w:type="dxa"/>
        <w:tblLook w:val="0000"/>
      </w:tblPr>
      <w:tblGrid>
        <w:gridCol w:w="876"/>
        <w:gridCol w:w="1080"/>
        <w:gridCol w:w="1118"/>
      </w:tblGrid>
      <w:tr w:rsidR="00536358" w:rsidRPr="00536358" w:rsidTr="00FF7247">
        <w:trPr>
          <w:trHeight w:val="144"/>
        </w:trPr>
        <w:tc>
          <w:tcPr>
            <w:tcW w:w="860" w:type="dxa"/>
            <w:tcBorders>
              <w:top w:val="single" w:sz="12" w:space="0" w:color="auto"/>
              <w:left w:val="nil"/>
              <w:bottom w:val="single" w:sz="4" w:space="0" w:color="auto"/>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b/>
                <w:i/>
                <w:sz w:val="18"/>
                <w:szCs w:val="20"/>
              </w:rPr>
            </w:pPr>
            <w:r w:rsidRPr="00536358">
              <w:rPr>
                <w:rFonts w:ascii="STIX" w:eastAsia="Times New Roman" w:hAnsi="STIX" w:cs="STIX MathJax Main"/>
                <w:b/>
                <w:i/>
                <w:sz w:val="18"/>
                <w:szCs w:val="20"/>
              </w:rPr>
              <w:t>t</w:t>
            </w:r>
          </w:p>
        </w:tc>
        <w:tc>
          <w:tcPr>
            <w:tcW w:w="1064" w:type="dxa"/>
            <w:tcBorders>
              <w:top w:val="single" w:sz="12" w:space="0" w:color="auto"/>
              <w:left w:val="nil"/>
              <w:bottom w:val="single" w:sz="4" w:space="0" w:color="auto"/>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b/>
                <w:i/>
                <w:sz w:val="18"/>
                <w:szCs w:val="20"/>
              </w:rPr>
            </w:pPr>
            <w:r w:rsidRPr="00536358">
              <w:rPr>
                <w:rFonts w:ascii="STIX" w:eastAsia="Times New Roman" w:hAnsi="STIX" w:cs="STIX MathJax Main"/>
                <w:b/>
                <w:i/>
                <w:sz w:val="18"/>
                <w:szCs w:val="20"/>
              </w:rPr>
              <w:t>v</w:t>
            </w:r>
          </w:p>
        </w:tc>
        <w:tc>
          <w:tcPr>
            <w:tcW w:w="1102" w:type="dxa"/>
            <w:tcBorders>
              <w:top w:val="single" w:sz="12" w:space="0" w:color="auto"/>
              <w:left w:val="nil"/>
              <w:bottom w:val="single" w:sz="4" w:space="0" w:color="auto"/>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b/>
                <w:sz w:val="18"/>
                <w:szCs w:val="20"/>
              </w:rPr>
            </w:pPr>
            <w:r w:rsidRPr="00536358">
              <w:rPr>
                <w:rFonts w:ascii="STIX" w:eastAsia="Times New Roman" w:hAnsi="STIX" w:cs="STIX MathJax Main"/>
                <w:b/>
                <w:i/>
                <w:sz w:val="18"/>
                <w:szCs w:val="20"/>
              </w:rPr>
              <w:t>dv</w:t>
            </w:r>
            <w:r w:rsidRPr="00536358">
              <w:rPr>
                <w:rFonts w:ascii="Courier" w:eastAsia="Times New Roman" w:hAnsi="Courier" w:cs="STIX MathJax Main"/>
                <w:b/>
                <w:sz w:val="18"/>
                <w:szCs w:val="20"/>
              </w:rPr>
              <w:t>/</w:t>
            </w:r>
            <w:r w:rsidRPr="00536358">
              <w:rPr>
                <w:rFonts w:ascii="STIX" w:eastAsia="Times New Roman" w:hAnsi="STIX" w:cs="STIX MathJax Main"/>
                <w:b/>
                <w:i/>
                <w:sz w:val="18"/>
                <w:szCs w:val="20"/>
              </w:rPr>
              <w:t>dt</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0</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0</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9.81</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2</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19.6200</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6.4968</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4</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32.6136</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4.3026</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6</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41.2187</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2.8494</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8</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46.9176</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1.8871</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10</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50.6917</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1.2497</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12</w:t>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53.1911</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0.8276</w:t>
            </w:r>
          </w:p>
        </w:tc>
      </w:tr>
      <w:tr w:rsidR="00536358" w:rsidRPr="00536358" w:rsidTr="00FF7247">
        <w:tblPrEx>
          <w:tblCellMar>
            <w:left w:w="0" w:type="dxa"/>
            <w:right w:w="0" w:type="dxa"/>
          </w:tblCellMar>
        </w:tblPrEx>
        <w:trPr>
          <w:trHeight w:val="144"/>
        </w:trPr>
        <w:tc>
          <w:tcPr>
            <w:tcW w:w="860"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Courier" w:eastAsia="Times New Roman" w:hAnsi="Courier" w:cs="STIX MathJax Main"/>
                <w:sz w:val="18"/>
                <w:szCs w:val="20"/>
              </w:rPr>
            </w:pPr>
            <w:r w:rsidRPr="00536358">
              <w:rPr>
                <w:rFonts w:ascii="Courier" w:eastAsia="Times New Roman" w:hAnsi="Courier" w:cs="STIX MathJax Main"/>
                <w:sz w:val="18"/>
                <w:szCs w:val="20"/>
              </w:rPr>
              <w:sym w:font="Symbol" w:char="F0A5"/>
            </w:r>
          </w:p>
        </w:tc>
        <w:tc>
          <w:tcPr>
            <w:tcW w:w="1064"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r w:rsidRPr="00536358">
              <w:rPr>
                <w:rFonts w:ascii="STIX" w:eastAsia="Times New Roman" w:hAnsi="STIX" w:cs="STIX MathJax Main"/>
                <w:sz w:val="18"/>
                <w:szCs w:val="20"/>
              </w:rPr>
              <w:t>58.0923</w:t>
            </w:r>
          </w:p>
        </w:tc>
        <w:tc>
          <w:tcPr>
            <w:tcW w:w="1102" w:type="dxa"/>
            <w:tcBorders>
              <w:top w:val="nil"/>
              <w:left w:val="nil"/>
              <w:bottom w:val="nil"/>
              <w:right w:val="nil"/>
            </w:tcBorders>
            <w:shd w:val="clear" w:color="auto" w:fill="auto"/>
            <w:noWrap/>
            <w:vAlign w:val="center"/>
          </w:tcPr>
          <w:p w:rsidR="00536358" w:rsidRPr="00536358" w:rsidRDefault="00536358" w:rsidP="00536358">
            <w:pPr>
              <w:spacing w:after="0" w:line="240" w:lineRule="auto"/>
              <w:jc w:val="center"/>
              <w:rPr>
                <w:rFonts w:ascii="STIX MathJax Main" w:eastAsia="Times New Roman" w:hAnsi="STIX MathJax Main" w:cs="STIX MathJax Main"/>
                <w:sz w:val="18"/>
                <w:szCs w:val="20"/>
              </w:rPr>
            </w:pPr>
          </w:p>
        </w:tc>
      </w:tr>
    </w:tbl>
    <w:p w:rsidR="00536358" w:rsidRDefault="00536358" w:rsidP="00536358">
      <w:pPr>
        <w:spacing w:after="0" w:line="240" w:lineRule="auto"/>
        <w:rPr>
          <w:rFonts w:ascii="STIX" w:eastAsia="Times New Roman" w:hAnsi="STIX"/>
          <w:sz w:val="20"/>
          <w:szCs w:val="20"/>
        </w:rPr>
      </w:pPr>
    </w:p>
    <w:p w:rsidR="00536358" w:rsidRDefault="00536358" w:rsidP="00536358">
      <w:pPr>
        <w:spacing w:after="0" w:line="240" w:lineRule="auto"/>
        <w:rPr>
          <w:rFonts w:ascii="STIX" w:eastAsia="Times New Roman" w:hAnsi="STIX"/>
          <w:sz w:val="20"/>
          <w:szCs w:val="20"/>
        </w:rPr>
      </w:pPr>
    </w:p>
    <w:p w:rsidR="00536358" w:rsidRDefault="00536358" w:rsidP="00536358">
      <w:pPr>
        <w:rPr>
          <w:rFonts w:ascii="STIX" w:hAnsi="STIX" w:cs="STIX"/>
          <w:i/>
          <w:sz w:val="20"/>
          <w:szCs w:val="20"/>
        </w:rPr>
        <w:sectPr w:rsidR="00536358" w:rsidSect="00A24CE3">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MathJax Main" w:eastAsia="Times New Roman" w:hAnsi="STIX MathJax Main"/>
          <w:noProof/>
          <w:sz w:val="20"/>
          <w:szCs w:val="20"/>
        </w:rPr>
        <w:drawing>
          <wp:inline distT="0" distB="0" distL="0" distR="0">
            <wp:extent cx="3089275" cy="1590675"/>
            <wp:effectExtent l="0" t="0" r="0" b="9525"/>
            <wp:docPr id="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6" cstate="print">
                      <a:extLst>
                        <a:ext uri="{28A0092B-C50C-407E-A947-70E740481C1C}">
                          <a14:useLocalDpi xmlns:arto="http://schemas.microsoft.com/office/word/2006/arto"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9275" cy="1590675"/>
                    </a:xfrm>
                    <a:prstGeom prst="rect">
                      <a:avLst/>
                    </a:prstGeom>
                    <a:noFill/>
                    <a:ln>
                      <a:noFill/>
                    </a:ln>
                  </pic:spPr>
                </pic:pic>
              </a:graphicData>
            </a:graphic>
          </wp:inline>
        </w:drawing>
      </w:r>
    </w:p>
    <w:p w:rsidR="00536358" w:rsidRPr="00536358" w:rsidRDefault="00536358" w:rsidP="00536358">
      <w:pPr>
        <w:spacing w:after="0" w:line="240" w:lineRule="auto"/>
        <w:rPr>
          <w:rFonts w:ascii="STIX" w:eastAsia="Times New Roman" w:hAnsi="STIX"/>
          <w:sz w:val="20"/>
          <w:szCs w:val="20"/>
        </w:rPr>
      </w:pPr>
    </w:p>
    <w:p w:rsidR="00536358" w:rsidRPr="00536358" w:rsidRDefault="00536358" w:rsidP="00536358">
      <w:pPr>
        <w:spacing w:after="0" w:line="240" w:lineRule="auto"/>
        <w:rPr>
          <w:rFonts w:ascii="STIX" w:eastAsia="Times New Roman" w:hAnsi="STIX"/>
          <w:sz w:val="20"/>
          <w:szCs w:val="20"/>
        </w:rPr>
      </w:pPr>
      <w:r w:rsidRPr="00536358">
        <w:rPr>
          <w:rFonts w:ascii="STIX" w:eastAsia="Times New Roman" w:hAnsi="STIX"/>
          <w:sz w:val="20"/>
          <w:szCs w:val="20"/>
        </w:rPr>
        <w:t>Note that the analytical solution is included on the plot for comparison.</w:t>
      </w:r>
    </w:p>
    <w:p w:rsidR="00536358" w:rsidRPr="00536358" w:rsidRDefault="00536358" w:rsidP="00536358">
      <w:pPr>
        <w:spacing w:after="0" w:line="240" w:lineRule="auto"/>
        <w:rPr>
          <w:rFonts w:ascii="STIX" w:eastAsia="Times New Roman" w:hAnsi="STIX"/>
          <w:sz w:val="20"/>
          <w:szCs w:val="20"/>
        </w:rPr>
      </w:pPr>
    </w:p>
    <w:p w:rsidR="001B2705" w:rsidRPr="001B2705" w:rsidRDefault="001B2705" w:rsidP="00536358">
      <w:pPr>
        <w:spacing w:after="0" w:line="240" w:lineRule="auto"/>
      </w:pPr>
    </w:p>
    <w:sectPr w:rsidR="001B2705" w:rsidRPr="001B2705" w:rsidSect="002C1C68">
      <w:footerReference w:type="default" r:id="rId47"/>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722" w:rsidRPr="00047722" w:rsidRDefault="00047722">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722"/>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0DE4"/>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0.wmf"/><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footer" Target="footer1.xml"/><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footer" Target="footer2.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313</Words>
  <Characters>1785</Characters>
  <Application>Microsoft Office Word</Application>
  <DocSecurity>0</DocSecurity>
  <Lines>14</Lines>
  <Paragraphs>4</Paragraphs>
  <ScaleCrop>false</ScaleCrop>
  <Company/>
  <LinksUpToDate>false</LinksUpToDate>
  <CharactersWithSpaces>2094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2017-03-29T15:45:00Z</dcterms:created>
  <dcterms:modified xsi:type="dcterms:W3CDTF">2017-04-02T15:42:00Z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