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2B099C">
        <w:rPr>
          <w:b/>
          <w:sz w:val="20"/>
          <w:szCs w:val="20"/>
        </w:rPr>
        <w:t>8</w:t>
      </w:r>
    </w:p>
    <w:p w:rsidR="002B099C" w:rsidRDefault="002B099C" w:rsidP="001B2705">
      <w:pPr>
        <w:pStyle w:val="Default"/>
        <w:rPr>
          <w:b/>
          <w:sz w:val="20"/>
          <w:szCs w:val="20"/>
        </w:rPr>
      </w:pPr>
    </w:p>
    <w:p w:rsidR="002B099C" w:rsidRPr="002B099C" w:rsidRDefault="002B099C" w:rsidP="002B099C">
      <w:pPr>
        <w:spacing w:after="0" w:line="240" w:lineRule="auto"/>
        <w:rPr>
          <w:rFonts w:ascii="STIX" w:eastAsia="Times New Roman" w:hAnsi="STIX"/>
          <w:sz w:val="20"/>
          <w:szCs w:val="20"/>
        </w:rPr>
      </w:pPr>
      <w:r w:rsidRPr="002B099C">
        <w:rPr>
          <w:rFonts w:ascii="STIX" w:eastAsia="Times New Roman" w:hAnsi="STIX"/>
          <w:b/>
          <w:sz w:val="20"/>
          <w:szCs w:val="20"/>
        </w:rPr>
        <w:t>(a)</w:t>
      </w:r>
      <w:r w:rsidRPr="002B099C">
        <w:rPr>
          <w:rFonts w:ascii="STIX" w:eastAsia="Times New Roman" w:hAnsi="STIX"/>
          <w:sz w:val="20"/>
          <w:szCs w:val="20"/>
        </w:rPr>
        <w:t xml:space="preserve"> The first two steps are</w:t>
      </w:r>
    </w:p>
    <w:p w:rsidR="002B099C" w:rsidRPr="002B099C" w:rsidRDefault="002B099C" w:rsidP="002B099C">
      <w:pPr>
        <w:spacing w:after="0" w:line="240" w:lineRule="auto"/>
        <w:rPr>
          <w:rFonts w:ascii="STIX" w:eastAsia="Times New Roman" w:hAnsi="STIX"/>
          <w:sz w:val="20"/>
          <w:szCs w:val="20"/>
        </w:rPr>
      </w:pPr>
    </w:p>
    <w:p w:rsidR="002B099C" w:rsidRPr="002B099C" w:rsidRDefault="002B099C" w:rsidP="002B099C">
      <w:pPr>
        <w:spacing w:after="0" w:line="240" w:lineRule="auto"/>
        <w:rPr>
          <w:rFonts w:ascii="STIX" w:eastAsia="Times New Roman" w:hAnsi="STIX"/>
          <w:sz w:val="20"/>
          <w:szCs w:val="20"/>
        </w:rPr>
      </w:pPr>
      <w:r w:rsidRPr="002B099C">
        <w:rPr>
          <w:rFonts w:ascii="STIX MathJax Main" w:eastAsia="Times New Roman" w:hAnsi="STIX MathJax Main"/>
          <w:position w:val="-10"/>
          <w:sz w:val="20"/>
          <w:szCs w:val="20"/>
        </w:rPr>
        <w:object w:dxaOrig="3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5" type="#_x0000_t75" style="width:198pt;height:15.75pt" o:ole="">
            <v:imagedata r:id="rId7" o:title=""/>
          </v:shape>
          <o:OLEObject Type="Embed" ProgID="Equation.DSMT4" ShapeID="_x0000_i1885" DrawAspect="Content" ObjectID="_1552287128" r:id="rId8"/>
        </w:object>
      </w:r>
      <w:r w:rsidRPr="002B099C">
        <w:rPr>
          <w:rFonts w:ascii="STIX" w:eastAsia="Times New Roman" w:hAnsi="STIX"/>
          <w:sz w:val="20"/>
          <w:szCs w:val="20"/>
        </w:rPr>
        <w:t xml:space="preserve"> </w:t>
      </w:r>
    </w:p>
    <w:p w:rsidR="002B099C" w:rsidRPr="002B099C" w:rsidRDefault="002B099C" w:rsidP="002B099C">
      <w:pPr>
        <w:spacing w:after="0" w:line="240" w:lineRule="auto"/>
        <w:rPr>
          <w:rFonts w:ascii="STIX" w:eastAsia="Times New Roman" w:hAnsi="STIX"/>
          <w:sz w:val="20"/>
          <w:szCs w:val="20"/>
        </w:rPr>
      </w:pPr>
      <w:r w:rsidRPr="002B099C">
        <w:rPr>
          <w:rFonts w:ascii="STIX MathJax Main" w:eastAsia="Times New Roman" w:hAnsi="STIX MathJax Main"/>
          <w:position w:val="-10"/>
          <w:sz w:val="20"/>
          <w:szCs w:val="20"/>
        </w:rPr>
        <w:object w:dxaOrig="4720" w:dyaOrig="320">
          <v:shape id="_x0000_i1886" type="#_x0000_t75" style="width:236.25pt;height:15.75pt" o:ole="">
            <v:imagedata r:id="rId9" o:title=""/>
          </v:shape>
          <o:OLEObject Type="Embed" ProgID="Equation.DSMT4" ShapeID="_x0000_i1886" DrawAspect="Content" ObjectID="_1552287129" r:id="rId10"/>
        </w:object>
      </w:r>
      <w:r w:rsidRPr="002B099C">
        <w:rPr>
          <w:rFonts w:ascii="STIX" w:eastAsia="Times New Roman" w:hAnsi="STIX"/>
          <w:sz w:val="20"/>
          <w:szCs w:val="20"/>
        </w:rPr>
        <w:t xml:space="preserve"> </w:t>
      </w:r>
    </w:p>
    <w:p w:rsidR="002B099C" w:rsidRPr="002B099C" w:rsidRDefault="002B099C" w:rsidP="002B099C">
      <w:pPr>
        <w:spacing w:after="0" w:line="240" w:lineRule="auto"/>
        <w:rPr>
          <w:rFonts w:ascii="STIX" w:eastAsia="Times New Roman" w:hAnsi="STIX"/>
          <w:sz w:val="20"/>
          <w:szCs w:val="20"/>
        </w:rPr>
      </w:pPr>
    </w:p>
    <w:p w:rsidR="002B099C" w:rsidRPr="002B099C" w:rsidRDefault="002B099C" w:rsidP="002B099C">
      <w:pPr>
        <w:spacing w:after="0" w:line="240" w:lineRule="auto"/>
        <w:rPr>
          <w:rFonts w:ascii="STIX" w:eastAsia="Times New Roman" w:hAnsi="STIX"/>
          <w:sz w:val="20"/>
          <w:szCs w:val="20"/>
        </w:rPr>
      </w:pPr>
      <w:r w:rsidRPr="002B099C">
        <w:rPr>
          <w:rFonts w:ascii="STIX" w:eastAsia="Times New Roman" w:hAnsi="STIX"/>
          <w:sz w:val="20"/>
          <w:szCs w:val="20"/>
        </w:rPr>
        <w:t>The process can be continued to yield</w:t>
      </w:r>
    </w:p>
    <w:p w:rsidR="002B099C" w:rsidRPr="002B099C" w:rsidRDefault="002B099C" w:rsidP="002B099C">
      <w:pPr>
        <w:spacing w:after="0" w:line="240" w:lineRule="auto"/>
        <w:rPr>
          <w:rFonts w:ascii="STIX" w:eastAsia="Times New Roman" w:hAnsi="STIX"/>
          <w:sz w:val="20"/>
          <w:szCs w:val="20"/>
        </w:rPr>
      </w:pPr>
    </w:p>
    <w:tbl>
      <w:tblPr>
        <w:tblW w:w="3988" w:type="dxa"/>
        <w:tblInd w:w="133" w:type="dxa"/>
        <w:tblLook w:val="0000"/>
      </w:tblPr>
      <w:tblGrid>
        <w:gridCol w:w="1200"/>
        <w:gridCol w:w="1364"/>
        <w:gridCol w:w="1472"/>
      </w:tblGrid>
      <w:tr w:rsidR="002B099C" w:rsidRPr="002B099C" w:rsidTr="00FF7247">
        <w:trPr>
          <w:trHeight w:val="144"/>
        </w:trPr>
        <w:tc>
          <w:tcPr>
            <w:tcW w:w="1184" w:type="dxa"/>
            <w:tcBorders>
              <w:top w:val="single" w:sz="12" w:space="0" w:color="auto"/>
              <w:bottom w:val="single" w:sz="6" w:space="0" w:color="auto"/>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b/>
                <w:i/>
                <w:sz w:val="18"/>
                <w:szCs w:val="20"/>
              </w:rPr>
            </w:pPr>
            <w:r w:rsidRPr="002B099C">
              <w:rPr>
                <w:rFonts w:ascii="STIX" w:eastAsia="Times New Roman" w:hAnsi="STIX" w:cs="STIX MathJax Main"/>
                <w:b/>
                <w:i/>
                <w:sz w:val="18"/>
                <w:szCs w:val="20"/>
              </w:rPr>
              <w:t>t</w:t>
            </w:r>
          </w:p>
        </w:tc>
        <w:tc>
          <w:tcPr>
            <w:tcW w:w="1348" w:type="dxa"/>
            <w:tcBorders>
              <w:top w:val="single" w:sz="12" w:space="0" w:color="auto"/>
              <w:bottom w:val="single" w:sz="6" w:space="0" w:color="auto"/>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b/>
                <w:i/>
                <w:sz w:val="18"/>
                <w:szCs w:val="20"/>
              </w:rPr>
            </w:pPr>
            <w:r w:rsidRPr="002B099C">
              <w:rPr>
                <w:rFonts w:ascii="STIX" w:eastAsia="Times New Roman" w:hAnsi="STIX" w:cs="STIX MathJax Main"/>
                <w:b/>
                <w:i/>
                <w:sz w:val="18"/>
                <w:szCs w:val="20"/>
              </w:rPr>
              <w:t>c</w:t>
            </w:r>
          </w:p>
        </w:tc>
        <w:tc>
          <w:tcPr>
            <w:tcW w:w="1456" w:type="dxa"/>
            <w:tcBorders>
              <w:top w:val="single" w:sz="12" w:space="0" w:color="auto"/>
              <w:bottom w:val="single" w:sz="6" w:space="0" w:color="auto"/>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b/>
                <w:i/>
                <w:sz w:val="18"/>
                <w:szCs w:val="20"/>
              </w:rPr>
            </w:pPr>
            <w:r w:rsidRPr="002B099C">
              <w:rPr>
                <w:rFonts w:ascii="STIX" w:eastAsia="Times New Roman" w:hAnsi="STIX" w:cs="STIX MathJax Main"/>
                <w:b/>
                <w:i/>
                <w:sz w:val="18"/>
                <w:szCs w:val="20"/>
              </w:rPr>
              <w:t>dc</w:t>
            </w:r>
            <w:r w:rsidRPr="002B099C">
              <w:rPr>
                <w:rFonts w:ascii="Courier" w:eastAsia="Times New Roman" w:hAnsi="Courier" w:cs="STIX MathJax Main"/>
                <w:b/>
                <w:sz w:val="18"/>
                <w:szCs w:val="20"/>
              </w:rPr>
              <w:t>/</w:t>
            </w:r>
            <w:r w:rsidRPr="002B099C">
              <w:rPr>
                <w:rFonts w:ascii="STIX" w:eastAsia="Times New Roman" w:hAnsi="STIX" w:cs="STIX MathJax Main"/>
                <w:b/>
                <w:i/>
                <w:sz w:val="18"/>
                <w:szCs w:val="20"/>
              </w:rPr>
              <w:t>dt</w:t>
            </w:r>
          </w:p>
        </w:tc>
      </w:tr>
      <w:tr w:rsidR="002B099C" w:rsidRPr="002B099C" w:rsidTr="00FF7247">
        <w:tblPrEx>
          <w:tblCellMar>
            <w:left w:w="0" w:type="dxa"/>
            <w:right w:w="0" w:type="dxa"/>
          </w:tblCellMar>
        </w:tblPrEx>
        <w:trPr>
          <w:trHeight w:val="144"/>
        </w:trPr>
        <w:tc>
          <w:tcPr>
            <w:tcW w:w="1184"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w:t>
            </w:r>
          </w:p>
        </w:tc>
        <w:tc>
          <w:tcPr>
            <w:tcW w:w="1348"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100.0000</w:t>
            </w:r>
          </w:p>
        </w:tc>
        <w:tc>
          <w:tcPr>
            <w:tcW w:w="1456"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-17.5000</w:t>
            </w:r>
          </w:p>
        </w:tc>
      </w:tr>
      <w:tr w:rsidR="002B099C" w:rsidRPr="002B099C" w:rsidTr="00FF7247">
        <w:tblPrEx>
          <w:tblCellMar>
            <w:left w:w="0" w:type="dxa"/>
            <w:right w:w="0" w:type="dxa"/>
          </w:tblCellMar>
        </w:tblPrEx>
        <w:trPr>
          <w:trHeight w:val="144"/>
        </w:trPr>
        <w:tc>
          <w:tcPr>
            <w:tcW w:w="1184"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0.1</w:t>
            </w:r>
          </w:p>
        </w:tc>
        <w:tc>
          <w:tcPr>
            <w:tcW w:w="1348"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98.2500</w:t>
            </w:r>
          </w:p>
        </w:tc>
        <w:tc>
          <w:tcPr>
            <w:tcW w:w="1456"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-17.1938</w:t>
            </w:r>
          </w:p>
        </w:tc>
      </w:tr>
      <w:tr w:rsidR="002B099C" w:rsidRPr="002B099C" w:rsidTr="00FF7247">
        <w:tblPrEx>
          <w:tblCellMar>
            <w:left w:w="0" w:type="dxa"/>
            <w:right w:w="0" w:type="dxa"/>
          </w:tblCellMar>
        </w:tblPrEx>
        <w:trPr>
          <w:trHeight w:val="144"/>
        </w:trPr>
        <w:tc>
          <w:tcPr>
            <w:tcW w:w="1184"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0.2</w:t>
            </w:r>
          </w:p>
        </w:tc>
        <w:tc>
          <w:tcPr>
            <w:tcW w:w="1348"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96.5306</w:t>
            </w:r>
          </w:p>
        </w:tc>
        <w:tc>
          <w:tcPr>
            <w:tcW w:w="1456"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-16.8929</w:t>
            </w:r>
          </w:p>
        </w:tc>
      </w:tr>
      <w:tr w:rsidR="002B099C" w:rsidRPr="002B099C" w:rsidTr="00FF7247">
        <w:tblPrEx>
          <w:tblCellMar>
            <w:left w:w="0" w:type="dxa"/>
            <w:right w:w="0" w:type="dxa"/>
          </w:tblCellMar>
        </w:tblPrEx>
        <w:trPr>
          <w:trHeight w:val="144"/>
        </w:trPr>
        <w:tc>
          <w:tcPr>
            <w:tcW w:w="1184"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0.3</w:t>
            </w:r>
          </w:p>
        </w:tc>
        <w:tc>
          <w:tcPr>
            <w:tcW w:w="1348"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94.8413</w:t>
            </w:r>
          </w:p>
        </w:tc>
        <w:tc>
          <w:tcPr>
            <w:tcW w:w="1456"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-16.5972</w:t>
            </w:r>
          </w:p>
        </w:tc>
      </w:tr>
      <w:tr w:rsidR="002B099C" w:rsidRPr="002B099C" w:rsidTr="00FF7247">
        <w:tblPrEx>
          <w:tblCellMar>
            <w:left w:w="0" w:type="dxa"/>
            <w:right w:w="0" w:type="dxa"/>
          </w:tblCellMar>
        </w:tblPrEx>
        <w:trPr>
          <w:trHeight w:val="144"/>
        </w:trPr>
        <w:tc>
          <w:tcPr>
            <w:tcW w:w="1184"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0.4</w:t>
            </w:r>
          </w:p>
        </w:tc>
        <w:tc>
          <w:tcPr>
            <w:tcW w:w="1348"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93.1816</w:t>
            </w:r>
          </w:p>
        </w:tc>
        <w:tc>
          <w:tcPr>
            <w:tcW w:w="1456"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-16.3068</w:t>
            </w:r>
          </w:p>
        </w:tc>
      </w:tr>
      <w:tr w:rsidR="002B099C" w:rsidRPr="002B099C" w:rsidTr="00FF7247">
        <w:tblPrEx>
          <w:tblCellMar>
            <w:left w:w="0" w:type="dxa"/>
            <w:right w:w="0" w:type="dxa"/>
          </w:tblCellMar>
        </w:tblPrEx>
        <w:trPr>
          <w:trHeight w:val="144"/>
        </w:trPr>
        <w:tc>
          <w:tcPr>
            <w:tcW w:w="1184"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0.5</w:t>
            </w:r>
          </w:p>
        </w:tc>
        <w:tc>
          <w:tcPr>
            <w:tcW w:w="1348"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91.5509</w:t>
            </w:r>
          </w:p>
        </w:tc>
        <w:tc>
          <w:tcPr>
            <w:tcW w:w="1456"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-16.0214</w:t>
            </w:r>
          </w:p>
        </w:tc>
      </w:tr>
      <w:tr w:rsidR="002B099C" w:rsidRPr="002B099C" w:rsidTr="00FF7247">
        <w:tblPrEx>
          <w:tblCellMar>
            <w:left w:w="0" w:type="dxa"/>
            <w:right w:w="0" w:type="dxa"/>
          </w:tblCellMar>
        </w:tblPrEx>
        <w:trPr>
          <w:trHeight w:val="144"/>
        </w:trPr>
        <w:tc>
          <w:tcPr>
            <w:tcW w:w="1184"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0.6</w:t>
            </w:r>
          </w:p>
        </w:tc>
        <w:tc>
          <w:tcPr>
            <w:tcW w:w="1348"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89.9488</w:t>
            </w:r>
          </w:p>
        </w:tc>
        <w:tc>
          <w:tcPr>
            <w:tcW w:w="1456"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-15.7410</w:t>
            </w:r>
          </w:p>
        </w:tc>
      </w:tr>
      <w:tr w:rsidR="002B099C" w:rsidRPr="002B099C" w:rsidTr="00FF7247">
        <w:tblPrEx>
          <w:tblCellMar>
            <w:left w:w="0" w:type="dxa"/>
            <w:right w:w="0" w:type="dxa"/>
          </w:tblCellMar>
        </w:tblPrEx>
        <w:trPr>
          <w:trHeight w:val="144"/>
        </w:trPr>
        <w:tc>
          <w:tcPr>
            <w:tcW w:w="1184"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0.7</w:t>
            </w:r>
          </w:p>
        </w:tc>
        <w:tc>
          <w:tcPr>
            <w:tcW w:w="1348"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88.3747</w:t>
            </w:r>
          </w:p>
        </w:tc>
        <w:tc>
          <w:tcPr>
            <w:tcW w:w="1456"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-15.4656</w:t>
            </w:r>
          </w:p>
        </w:tc>
      </w:tr>
      <w:tr w:rsidR="002B099C" w:rsidRPr="002B099C" w:rsidTr="00FF7247">
        <w:tblPrEx>
          <w:tblCellMar>
            <w:left w:w="0" w:type="dxa"/>
            <w:right w:w="0" w:type="dxa"/>
          </w:tblCellMar>
        </w:tblPrEx>
        <w:trPr>
          <w:trHeight w:val="144"/>
        </w:trPr>
        <w:tc>
          <w:tcPr>
            <w:tcW w:w="1184"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0.8</w:t>
            </w:r>
          </w:p>
        </w:tc>
        <w:tc>
          <w:tcPr>
            <w:tcW w:w="1348"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86.8281</w:t>
            </w:r>
          </w:p>
        </w:tc>
        <w:tc>
          <w:tcPr>
            <w:tcW w:w="1456" w:type="dxa"/>
            <w:tcBorders>
              <w:top w:val="nil"/>
              <w:left w:val="nil"/>
              <w:bottom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-15.1949</w:t>
            </w:r>
          </w:p>
        </w:tc>
      </w:tr>
      <w:tr w:rsidR="002B099C" w:rsidRPr="002B099C" w:rsidTr="00FF7247">
        <w:tblPrEx>
          <w:tblCellMar>
            <w:left w:w="0" w:type="dxa"/>
            <w:right w:w="0" w:type="dxa"/>
          </w:tblCellMar>
        </w:tblPrEx>
        <w:trPr>
          <w:trHeight w:val="144"/>
        </w:trPr>
        <w:tc>
          <w:tcPr>
            <w:tcW w:w="1184" w:type="dxa"/>
            <w:tcBorders>
              <w:top w:val="nil"/>
              <w:left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0.9</w:t>
            </w:r>
          </w:p>
        </w:tc>
        <w:tc>
          <w:tcPr>
            <w:tcW w:w="1348" w:type="dxa"/>
            <w:tcBorders>
              <w:top w:val="nil"/>
              <w:left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85.3086</w:t>
            </w:r>
          </w:p>
        </w:tc>
        <w:tc>
          <w:tcPr>
            <w:tcW w:w="1456" w:type="dxa"/>
            <w:tcBorders>
              <w:top w:val="nil"/>
              <w:left w:val="nil"/>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-14.9290</w:t>
            </w:r>
          </w:p>
        </w:tc>
      </w:tr>
      <w:tr w:rsidR="002B099C" w:rsidRPr="002B099C" w:rsidTr="00FF7247">
        <w:tblPrEx>
          <w:tblCellMar>
            <w:left w:w="0" w:type="dxa"/>
            <w:right w:w="0" w:type="dxa"/>
          </w:tblCellMar>
        </w:tblPrEx>
        <w:trPr>
          <w:trHeight w:val="144"/>
        </w:trPr>
        <w:tc>
          <w:tcPr>
            <w:tcW w:w="1184" w:type="dxa"/>
            <w:tcBorders>
              <w:top w:val="nil"/>
              <w:left w:val="nil"/>
              <w:bottom w:val="single" w:sz="12" w:space="0" w:color="auto"/>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w:t>
            </w:r>
          </w:p>
        </w:tc>
        <w:tc>
          <w:tcPr>
            <w:tcW w:w="1348" w:type="dxa"/>
            <w:tcBorders>
              <w:top w:val="nil"/>
              <w:left w:val="nil"/>
              <w:bottom w:val="single" w:sz="12" w:space="0" w:color="auto"/>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83.8157</w:t>
            </w:r>
          </w:p>
        </w:tc>
        <w:tc>
          <w:tcPr>
            <w:tcW w:w="1456" w:type="dxa"/>
            <w:tcBorders>
              <w:top w:val="nil"/>
              <w:left w:val="nil"/>
              <w:bottom w:val="single" w:sz="12" w:space="0" w:color="auto"/>
              <w:right w:val="nil"/>
            </w:tcBorders>
            <w:shd w:val="clear" w:color="auto" w:fill="auto"/>
            <w:noWrap/>
            <w:vAlign w:val="bottom"/>
          </w:tcPr>
          <w:p w:rsidR="002B099C" w:rsidRPr="002B099C" w:rsidRDefault="002B099C" w:rsidP="002B099C">
            <w:pPr>
              <w:spacing w:after="0" w:line="240" w:lineRule="auto"/>
              <w:jc w:val="center"/>
              <w:rPr>
                <w:rFonts w:ascii="STIX MathJax Main" w:eastAsia="Times New Roman" w:hAnsi="STIX MathJax Main" w:cs="STIX MathJax Main"/>
                <w:sz w:val="18"/>
                <w:szCs w:val="20"/>
              </w:rPr>
            </w:pPr>
            <w:r w:rsidRPr="002B099C">
              <w:rPr>
                <w:rFonts w:ascii="STIX" w:eastAsia="Times New Roman" w:hAnsi="STIX" w:cs="STIX MathJax Main"/>
                <w:sz w:val="18"/>
                <w:szCs w:val="20"/>
              </w:rPr>
              <w:t>-14.6678</w:t>
            </w:r>
          </w:p>
        </w:tc>
      </w:tr>
    </w:tbl>
    <w:p w:rsidR="002B099C" w:rsidRPr="002B099C" w:rsidRDefault="002B099C" w:rsidP="002B099C">
      <w:pPr>
        <w:spacing w:after="0" w:line="240" w:lineRule="auto"/>
        <w:rPr>
          <w:rFonts w:ascii="STIX" w:eastAsia="Times New Roman" w:hAnsi="STIX"/>
          <w:sz w:val="20"/>
          <w:szCs w:val="20"/>
        </w:rPr>
      </w:pPr>
    </w:p>
    <w:p w:rsidR="002B099C" w:rsidRPr="002B099C" w:rsidRDefault="002B099C" w:rsidP="002B099C">
      <w:pPr>
        <w:spacing w:after="0" w:line="240" w:lineRule="auto"/>
        <w:rPr>
          <w:rFonts w:ascii="STIX" w:eastAsia="Times New Roman" w:hAnsi="STIX"/>
          <w:sz w:val="20"/>
          <w:szCs w:val="20"/>
        </w:rPr>
      </w:pPr>
      <w:r w:rsidRPr="002B099C">
        <w:rPr>
          <w:rFonts w:ascii="STIX" w:eastAsia="Times New Roman" w:hAnsi="STIX"/>
          <w:b/>
          <w:sz w:val="20"/>
          <w:szCs w:val="20"/>
        </w:rPr>
        <w:t>(b)</w:t>
      </w:r>
      <w:r w:rsidRPr="002B099C">
        <w:rPr>
          <w:rFonts w:ascii="STIX" w:eastAsia="Times New Roman" w:hAnsi="STIX"/>
          <w:sz w:val="20"/>
          <w:szCs w:val="20"/>
        </w:rPr>
        <w:t xml:space="preserve"> The results when plotted on a semi-log plot yields a straight line</w:t>
      </w:r>
    </w:p>
    <w:p w:rsidR="002B099C" w:rsidRPr="002B099C" w:rsidRDefault="002B099C" w:rsidP="002B099C">
      <w:pPr>
        <w:spacing w:after="0" w:line="240" w:lineRule="auto"/>
        <w:rPr>
          <w:rFonts w:ascii="STIX" w:eastAsia="Times New Roman" w:hAnsi="STIX"/>
          <w:sz w:val="20"/>
          <w:szCs w:val="20"/>
        </w:rPr>
      </w:pPr>
      <w:r w:rsidRPr="002B099C">
        <w:rPr>
          <w:rFonts w:ascii="STIX MathJax Main" w:eastAsia="Times New Roman" w:hAnsi="STIX MathJax Main"/>
          <w:noProof/>
          <w:sz w:val="20"/>
          <w:szCs w:val="20"/>
        </w:rPr>
        <w:drawing>
          <wp:inline distT="0" distB="0" distL="0" distR="0">
            <wp:extent cx="3204210" cy="1521460"/>
            <wp:effectExtent l="0" t="0" r="0" b="2540"/>
            <wp:docPr id="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204210" cy="1521460"/>
                    </a:xfrm>
                    <a:prstGeom prst="rect">
                      <a:avLst/>
                    </a:prstGeom>
                    <a:noFill/>
                    <a:ln>
                      <a:noFill/>
                    </a:ln>
                  </pic:spPr>
                </pic:pic>
              </a:graphicData>
            </a:graphic>
          </wp:inline>
        </w:drawing>
      </w:r>
    </w:p>
    <w:p w:rsidR="002B099C" w:rsidRPr="002B099C" w:rsidRDefault="002B099C" w:rsidP="002B099C">
      <w:pPr>
        <w:spacing w:after="0" w:line="240" w:lineRule="auto"/>
        <w:rPr>
          <w:rFonts w:ascii="STIX" w:eastAsia="Times New Roman" w:hAnsi="STIX"/>
          <w:sz w:val="20"/>
          <w:szCs w:val="24"/>
        </w:rPr>
      </w:pPr>
      <w:r w:rsidRPr="002B099C">
        <w:rPr>
          <w:rFonts w:ascii="STIX" w:eastAsia="Times New Roman" w:hAnsi="STIX"/>
          <w:sz w:val="20"/>
          <w:szCs w:val="24"/>
        </w:rPr>
        <w:t>The slope of this line can be estimated as</w:t>
      </w:r>
    </w:p>
    <w:p w:rsidR="002B099C" w:rsidRPr="002B099C" w:rsidRDefault="002B099C" w:rsidP="002B099C">
      <w:pPr>
        <w:spacing w:after="0" w:line="240" w:lineRule="auto"/>
        <w:rPr>
          <w:rFonts w:ascii="STIX" w:eastAsia="Times New Roman" w:hAnsi="STIX"/>
          <w:sz w:val="20"/>
          <w:szCs w:val="24"/>
        </w:rPr>
      </w:pPr>
    </w:p>
    <w:p w:rsidR="002B099C" w:rsidRPr="002B099C" w:rsidRDefault="002B099C" w:rsidP="002B099C">
      <w:pPr>
        <w:spacing w:after="0" w:line="240" w:lineRule="auto"/>
        <w:rPr>
          <w:rFonts w:ascii="STIX" w:eastAsia="Times New Roman" w:hAnsi="STIX"/>
          <w:sz w:val="20"/>
          <w:szCs w:val="24"/>
        </w:rPr>
      </w:pPr>
    </w:p>
    <w:p w:rsidR="002B099C" w:rsidRPr="002B099C" w:rsidRDefault="002B099C" w:rsidP="002B099C">
      <w:pPr>
        <w:spacing w:after="0" w:line="240" w:lineRule="auto"/>
        <w:rPr>
          <w:rFonts w:ascii="STIX" w:eastAsia="Times New Roman" w:hAnsi="STIX"/>
          <w:sz w:val="20"/>
          <w:szCs w:val="24"/>
        </w:rPr>
      </w:pPr>
      <w:r w:rsidRPr="002B099C">
        <w:rPr>
          <w:rFonts w:ascii="STIX MathJax Main" w:eastAsia="Times New Roman" w:hAnsi="STIX MathJax Main"/>
          <w:position w:val="-24"/>
          <w:sz w:val="20"/>
          <w:szCs w:val="24"/>
        </w:rPr>
        <w:object w:dxaOrig="3260" w:dyaOrig="639">
          <v:shape id="_x0000_i1887" type="#_x0000_t75" style="width:162.75pt;height:32.25pt" o:ole="">
            <v:imagedata r:id="rId12" o:title=""/>
          </v:shape>
          <o:OLEObject Type="Embed" ProgID="Equation.DSMT4" ShapeID="_x0000_i1887" DrawAspect="Content" ObjectID="_1552287130" r:id="rId13"/>
        </w:object>
      </w:r>
      <w:r w:rsidRPr="002B099C">
        <w:rPr>
          <w:rFonts w:ascii="STIX" w:eastAsia="Times New Roman" w:hAnsi="STIX"/>
          <w:sz w:val="20"/>
          <w:szCs w:val="24"/>
        </w:rPr>
        <w:t xml:space="preserve"> </w:t>
      </w:r>
    </w:p>
    <w:p w:rsidR="002B099C" w:rsidRPr="002B099C" w:rsidRDefault="002B099C" w:rsidP="002B099C">
      <w:pPr>
        <w:spacing w:after="0" w:line="240" w:lineRule="auto"/>
        <w:rPr>
          <w:rFonts w:ascii="STIX" w:eastAsia="Times New Roman" w:hAnsi="STIX"/>
          <w:sz w:val="20"/>
          <w:szCs w:val="24"/>
        </w:rPr>
      </w:pPr>
    </w:p>
    <w:p w:rsidR="002B099C" w:rsidRPr="002B099C" w:rsidRDefault="002B099C" w:rsidP="002B099C">
      <w:pPr>
        <w:spacing w:after="0" w:line="240" w:lineRule="auto"/>
        <w:rPr>
          <w:rFonts w:ascii="STIX" w:eastAsia="Times New Roman" w:hAnsi="STIX"/>
          <w:sz w:val="20"/>
          <w:szCs w:val="24"/>
        </w:rPr>
      </w:pPr>
      <w:r w:rsidRPr="002B099C">
        <w:rPr>
          <w:rFonts w:ascii="STIX" w:eastAsia="Times New Roman" w:hAnsi="STIX"/>
          <w:sz w:val="20"/>
          <w:szCs w:val="24"/>
        </w:rPr>
        <w:t>Thus, the slope is approximately equal to the negative of the decay rate. If we had used a smaller step size, the result would be more exact.</w:t>
      </w:r>
    </w:p>
    <w:p w:rsidR="002B099C" w:rsidRPr="002B099C" w:rsidRDefault="002B099C" w:rsidP="002B099C">
      <w:pPr>
        <w:spacing w:after="0" w:line="240" w:lineRule="auto"/>
        <w:rPr>
          <w:rFonts w:ascii="STIX" w:eastAsia="Times New Roman" w:hAnsi="STIX"/>
          <w:sz w:val="20"/>
          <w:szCs w:val="24"/>
        </w:rPr>
      </w:pPr>
    </w:p>
    <w:sectPr w:rsidR="002B099C" w:rsidRPr="002B099C"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2017-03-29T15:56:00Z</dcterms:created>
  <dcterms:modified xsi:type="dcterms:W3CDTF">2017-03-29T15:56:00Z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