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BE2228">
        <w:rPr>
          <w:b/>
          <w:sz w:val="20"/>
          <w:szCs w:val="20"/>
        </w:rPr>
        <w:t>14</w:t>
      </w:r>
    </w:p>
    <w:p w:rsidR="00983C57" w:rsidRDefault="00983C57" w:rsidP="001B2705">
      <w:pPr>
        <w:pStyle w:val="Default"/>
        <w:rPr>
          <w:b/>
          <w:sz w:val="20"/>
          <w:szCs w:val="20"/>
        </w:rPr>
      </w:pPr>
    </w:p>
    <w:p w:rsidR="00BE2228" w:rsidRPr="00BE2228" w:rsidRDefault="00BE2228" w:rsidP="00BE2228">
      <w:pPr>
        <w:keepNext/>
        <w:spacing w:after="0" w:line="240" w:lineRule="auto"/>
        <w:outlineLvl w:val="2"/>
        <w:rPr>
          <w:rFonts w:ascii="Arial" w:eastAsia="Times New Roman" w:hAnsi="Arial" w:cs="Arial"/>
          <w:bCs/>
          <w:szCs w:val="26"/>
        </w:rPr>
      </w:pPr>
      <w:r w:rsidRPr="00BE2228">
        <w:rPr>
          <w:rFonts w:ascii="STIX" w:eastAsia="Times New Roman" w:hAnsi="STIX"/>
          <w:b/>
          <w:bCs/>
          <w:sz w:val="20"/>
          <w:szCs w:val="24"/>
        </w:rPr>
        <w:t>(a)</w:t>
      </w:r>
      <w:r w:rsidRPr="00BE2228">
        <w:rPr>
          <w:rFonts w:ascii="STIX" w:eastAsia="Times New Roman" w:hAnsi="STIX"/>
          <w:bCs/>
          <w:sz w:val="20"/>
          <w:szCs w:val="24"/>
        </w:rPr>
        <w:t xml:space="preserve"> The force balance can be written as</w:t>
      </w:r>
      <w:r w:rsidRPr="00BE2228">
        <w:rPr>
          <w:rFonts w:ascii="Arial" w:eastAsia="Times New Roman" w:hAnsi="Arial" w:cs="Arial"/>
          <w:bCs/>
          <w:szCs w:val="26"/>
        </w:rPr>
        <w:t>:</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8"/>
          <w:sz w:val="20"/>
          <w:szCs w:val="24"/>
        </w:rPr>
        <w:object w:dxaOrig="30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75pt;height:35.25pt" o:ole="">
            <v:imagedata r:id="rId7" o:title=""/>
          </v:shape>
          <o:OLEObject Type="Embed" ProgID="Equation.DSMT4" ShapeID="_x0000_i1025" DrawAspect="Content" ObjectID="_1552650138" r:id="rId8"/>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Dividing by mass gives</w:t>
      </w:r>
    </w:p>
    <w:p w:rsidR="00BE2228" w:rsidRPr="00BE2228" w:rsidRDefault="00BE2228" w:rsidP="00BE2228">
      <w:pPr>
        <w:spacing w:after="0" w:line="240" w:lineRule="auto"/>
        <w:rPr>
          <w:rFonts w:ascii="STIX" w:eastAsia="Times New Roman" w:hAnsi="STIX"/>
          <w:b/>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8"/>
          <w:sz w:val="20"/>
          <w:szCs w:val="24"/>
        </w:rPr>
        <w:object w:dxaOrig="2799" w:dyaOrig="700">
          <v:shape id="_x0000_i1026" type="#_x0000_t75" style="width:140.25pt;height:35.25pt" o:ole="">
            <v:imagedata r:id="rId9" o:title=""/>
          </v:shape>
          <o:OLEObject Type="Embed" ProgID="Equation.DSMT4" ShapeID="_x0000_i1026" DrawAspect="Content" ObjectID="_1552650139" r:id="rId10"/>
        </w:object>
      </w:r>
    </w:p>
    <w:p w:rsidR="00BE2228" w:rsidRPr="00BE2228" w:rsidRDefault="00BE2228" w:rsidP="00BE2228">
      <w:pPr>
        <w:spacing w:after="0" w:line="240" w:lineRule="auto"/>
        <w:rPr>
          <w:rFonts w:ascii="STIX" w:eastAsia="Times New Roman" w:hAnsi="STIX"/>
          <w:b/>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b/>
          <w:sz w:val="20"/>
          <w:szCs w:val="24"/>
        </w:rPr>
        <w:t>(b)</w:t>
      </w:r>
      <w:r w:rsidRPr="00BE2228">
        <w:rPr>
          <w:rFonts w:ascii="STIX" w:eastAsia="Times New Roman" w:hAnsi="STIX"/>
          <w:sz w:val="20"/>
          <w:szCs w:val="24"/>
        </w:rPr>
        <w:t xml:space="preserve"> Recognizing that </w:t>
      </w:r>
      <w:r w:rsidRPr="00BE2228">
        <w:rPr>
          <w:rFonts w:ascii="STIX" w:eastAsia="Times New Roman" w:hAnsi="STIX"/>
          <w:i/>
          <w:sz w:val="20"/>
          <w:szCs w:val="24"/>
        </w:rPr>
        <w:t>dx</w:t>
      </w:r>
      <w:r w:rsidRPr="00BE2228">
        <w:rPr>
          <w:rFonts w:ascii="Courier" w:eastAsia="Times New Roman" w:hAnsi="Courier"/>
          <w:sz w:val="20"/>
          <w:szCs w:val="24"/>
        </w:rPr>
        <w:t>/</w:t>
      </w:r>
      <w:r w:rsidRPr="00BE2228">
        <w:rPr>
          <w:rFonts w:ascii="STIX" w:eastAsia="Times New Roman" w:hAnsi="STIX"/>
          <w:i/>
          <w:sz w:val="20"/>
          <w:szCs w:val="24"/>
        </w:rPr>
        <w:t>dt</w:t>
      </w:r>
      <w:r w:rsidRPr="00BE2228">
        <w:rPr>
          <w:rFonts w:ascii="STIX" w:eastAsia="Times New Roman" w:hAnsi="STIX"/>
          <w:sz w:val="20"/>
          <w:szCs w:val="24"/>
        </w:rPr>
        <w:t xml:space="preserve"> </w:t>
      </w:r>
      <w:r w:rsidRPr="00BE2228">
        <w:rPr>
          <w:rFonts w:ascii="Courier" w:eastAsia="Times New Roman" w:hAnsi="Courier"/>
          <w:sz w:val="20"/>
          <w:szCs w:val="24"/>
        </w:rPr>
        <w:t>=</w:t>
      </w:r>
      <w:r w:rsidRPr="00BE2228">
        <w:rPr>
          <w:rFonts w:ascii="STIX" w:eastAsia="Times New Roman" w:hAnsi="STIX"/>
          <w:sz w:val="20"/>
          <w:szCs w:val="24"/>
        </w:rPr>
        <w:t xml:space="preserve"> </w:t>
      </w:r>
      <w:r w:rsidRPr="00BE2228">
        <w:rPr>
          <w:rFonts w:ascii="STIX" w:eastAsia="Times New Roman" w:hAnsi="STIX"/>
          <w:i/>
          <w:sz w:val="20"/>
          <w:szCs w:val="24"/>
        </w:rPr>
        <w:t>v</w:t>
      </w:r>
      <w:r w:rsidRPr="00BE2228">
        <w:rPr>
          <w:rFonts w:ascii="STIX" w:eastAsia="Times New Roman" w:hAnsi="STIX"/>
          <w:sz w:val="20"/>
          <w:szCs w:val="24"/>
        </w:rPr>
        <w:t>, the chain rule is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jc w:val="both"/>
        <w:rPr>
          <w:rFonts w:ascii="STIX" w:eastAsia="Times New Roman" w:hAnsi="STIX"/>
          <w:sz w:val="20"/>
          <w:szCs w:val="20"/>
        </w:rPr>
      </w:pPr>
      <w:r w:rsidRPr="00BE2228">
        <w:rPr>
          <w:rFonts w:ascii="STIX MathJax Main" w:eastAsia="Times New Roman" w:hAnsi="STIX MathJax Main"/>
          <w:position w:val="-24"/>
          <w:sz w:val="20"/>
          <w:szCs w:val="20"/>
        </w:rPr>
        <w:object w:dxaOrig="999" w:dyaOrig="639">
          <v:shape id="_x0000_i1027" type="#_x0000_t75" style="width:50.25pt;height:32.25pt" o:ole="">
            <v:imagedata r:id="rId11" o:title=""/>
          </v:shape>
          <o:OLEObject Type="Embed" ProgID="Equation.DSMT4" ShapeID="_x0000_i1027" DrawAspect="Content" ObjectID="_1552650140" r:id="rId12"/>
        </w:object>
      </w:r>
    </w:p>
    <w:p w:rsidR="00BE2228" w:rsidRPr="00BE2228" w:rsidRDefault="00BE2228" w:rsidP="00BE2228">
      <w:pPr>
        <w:spacing w:after="0" w:line="240" w:lineRule="auto"/>
        <w:jc w:val="both"/>
        <w:rPr>
          <w:rFonts w:ascii="STIX" w:eastAsia="Times New Roman" w:hAnsi="STIX"/>
          <w:sz w:val="20"/>
          <w:szCs w:val="20"/>
        </w:rPr>
      </w:pPr>
    </w:p>
    <w:p w:rsidR="00BE2228" w:rsidRPr="00BE2228" w:rsidRDefault="00BE2228" w:rsidP="00BE2228">
      <w:pPr>
        <w:spacing w:after="0" w:line="240" w:lineRule="auto"/>
        <w:jc w:val="both"/>
        <w:rPr>
          <w:rFonts w:ascii="STIX" w:eastAsia="Times New Roman" w:hAnsi="STIX"/>
          <w:sz w:val="20"/>
          <w:szCs w:val="20"/>
        </w:rPr>
      </w:pPr>
      <w:r w:rsidRPr="00BE2228">
        <w:rPr>
          <w:rFonts w:ascii="STIX" w:eastAsia="Times New Roman" w:hAnsi="STIX"/>
          <w:sz w:val="20"/>
          <w:szCs w:val="20"/>
        </w:rPr>
        <w:t>Setting drag to zero and substituting this relationship into the force balance gives</w:t>
      </w:r>
    </w:p>
    <w:p w:rsidR="00BE2228" w:rsidRPr="00BE2228" w:rsidRDefault="00BE2228" w:rsidP="00BE2228">
      <w:pPr>
        <w:spacing w:after="0" w:line="240" w:lineRule="auto"/>
        <w:jc w:val="both"/>
        <w:rPr>
          <w:rFonts w:ascii="STIX" w:eastAsia="Times New Roman" w:hAnsi="STIX"/>
          <w:sz w:val="20"/>
          <w:szCs w:val="20"/>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8"/>
          <w:sz w:val="20"/>
          <w:szCs w:val="24"/>
        </w:rPr>
        <w:object w:dxaOrig="2040" w:dyaOrig="700">
          <v:shape id="_x0000_i1028" type="#_x0000_t75" style="width:102pt;height:35.25pt" o:ole="">
            <v:imagedata r:id="rId13" o:title=""/>
          </v:shape>
          <o:OLEObject Type="Embed" ProgID="Equation.DSMT4" ShapeID="_x0000_i1028" DrawAspect="Content" ObjectID="_1552650141" r:id="rId14"/>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b/>
          <w:sz w:val="20"/>
          <w:szCs w:val="24"/>
        </w:rPr>
        <w:t>(c)</w:t>
      </w:r>
      <w:r w:rsidRPr="00BE2228">
        <w:rPr>
          <w:rFonts w:ascii="STIX" w:eastAsia="Times New Roman" w:hAnsi="STIX"/>
          <w:sz w:val="20"/>
          <w:szCs w:val="24"/>
        </w:rPr>
        <w:t xml:space="preserve"> Using separation of variables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8"/>
          <w:sz w:val="20"/>
          <w:szCs w:val="24"/>
        </w:rPr>
        <w:object w:dxaOrig="2380" w:dyaOrig="700">
          <v:shape id="_x0000_i1029" type="#_x0000_t75" style="width:119.25pt;height:35.25pt" o:ole="">
            <v:imagedata r:id="rId15" o:title=""/>
          </v:shape>
          <o:OLEObject Type="Embed" ProgID="Equation.DSMT4" ShapeID="_x0000_i1029" DrawAspect="Content" ObjectID="_1552650142" r:id="rId16"/>
        </w:object>
      </w:r>
    </w:p>
    <w:p w:rsidR="00BE2228" w:rsidRPr="00BE2228" w:rsidRDefault="00BE2228" w:rsidP="00BE2228">
      <w:pPr>
        <w:spacing w:after="0" w:line="240" w:lineRule="auto"/>
        <w:jc w:val="both"/>
        <w:rPr>
          <w:rFonts w:ascii="STIX" w:eastAsia="Times New Roman" w:hAnsi="STIX"/>
          <w:sz w:val="20"/>
          <w:szCs w:val="20"/>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Integrating gives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4"/>
          <w:sz w:val="20"/>
          <w:szCs w:val="24"/>
        </w:rPr>
        <w:object w:dxaOrig="2040" w:dyaOrig="660">
          <v:shape id="_x0000_i1030" type="#_x0000_t75" style="width:102pt;height:33pt" o:ole="">
            <v:imagedata r:id="rId17" o:title=""/>
          </v:shape>
          <o:OLEObject Type="Embed" ProgID="Equation.DSMT4" ShapeID="_x0000_i1030" DrawAspect="Content" ObjectID="_1552650143" r:id="rId18"/>
        </w:object>
      </w:r>
    </w:p>
    <w:p w:rsidR="00BE2228" w:rsidRPr="00BE2228" w:rsidRDefault="00BE2228" w:rsidP="00BE2228">
      <w:pPr>
        <w:spacing w:after="0" w:line="240" w:lineRule="auto"/>
        <w:rPr>
          <w:rFonts w:ascii="STIX" w:eastAsia="Times New Roman" w:hAnsi="STIX"/>
          <w:sz w:val="20"/>
          <w:szCs w:val="24"/>
        </w:rPr>
      </w:pPr>
    </w:p>
    <w:p w:rsidR="00BE2228" w:rsidRDefault="00BE2228" w:rsidP="00BE2228">
      <w:pPr>
        <w:rPr>
          <w:rFonts w:ascii="STIX" w:hAnsi="STIX" w:cs="STIX"/>
          <w:i/>
          <w:sz w:val="20"/>
          <w:szCs w:val="20"/>
        </w:rPr>
        <w:sectPr w:rsidR="00BE2228" w:rsidSect="00A24CE3">
          <w:headerReference w:type="even" r:id="rId19"/>
          <w:headerReference w:type="default" r:id="rId20"/>
          <w:footerReference w:type="even" r:id="rId21"/>
          <w:footerReference w:type="default" r:id="rId22"/>
          <w:headerReference w:type="first" r:id="rId23"/>
          <w:footerReference w:type="first" r:id="rId2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lastRenderedPageBreak/>
        <w:t>Applying the initial condition yields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4"/>
          <w:sz w:val="20"/>
          <w:szCs w:val="24"/>
        </w:rPr>
        <w:object w:dxaOrig="2020" w:dyaOrig="680">
          <v:shape id="_x0000_i1031" type="#_x0000_t75" style="width:101.25pt;height:33.75pt" o:ole="">
            <v:imagedata r:id="rId25" o:title=""/>
          </v:shape>
          <o:OLEObject Type="Embed" ProgID="Equation.DSMT4" ShapeID="_x0000_i1031" DrawAspect="Content" ObjectID="_1552650144" r:id="rId26"/>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 xml:space="preserve">which can be solved for </w:t>
      </w:r>
      <w:r w:rsidRPr="00BE2228">
        <w:rPr>
          <w:rFonts w:ascii="STIX" w:eastAsia="Times New Roman" w:hAnsi="STIX"/>
          <w:i/>
          <w:sz w:val="20"/>
          <w:szCs w:val="24"/>
        </w:rPr>
        <w:t>C</w:t>
      </w:r>
      <w:r w:rsidRPr="00BE2228">
        <w:rPr>
          <w:rFonts w:ascii="STIX" w:eastAsia="Times New Roman" w:hAnsi="STIX"/>
          <w:sz w:val="20"/>
          <w:szCs w:val="24"/>
        </w:rPr>
        <w:t xml:space="preserve"> </w:t>
      </w:r>
      <w:r w:rsidRPr="00BE2228">
        <w:rPr>
          <w:rFonts w:ascii="Courier" w:eastAsia="Times New Roman" w:hAnsi="Courier"/>
          <w:sz w:val="20"/>
          <w:szCs w:val="24"/>
        </w:rPr>
        <w:t>=</w:t>
      </w:r>
      <w:r w:rsidRPr="00BE2228">
        <w:rPr>
          <w:rFonts w:ascii="STIX" w:eastAsia="Times New Roman" w:hAnsi="STIX"/>
          <w:sz w:val="20"/>
          <w:szCs w:val="24"/>
        </w:rPr>
        <w:t xml:space="preserve"> </w:t>
      </w:r>
      <w:r w:rsidRPr="00BE2228">
        <w:rPr>
          <w:rFonts w:ascii="STIX" w:eastAsia="Times New Roman" w:hAnsi="STIX"/>
          <w:i/>
          <w:sz w:val="20"/>
          <w:szCs w:val="24"/>
        </w:rPr>
        <w:t>v</w:t>
      </w:r>
      <w:r w:rsidRPr="00BE2228">
        <w:rPr>
          <w:rFonts w:ascii="STIX" w:eastAsia="Times New Roman" w:hAnsi="STIX"/>
          <w:sz w:val="20"/>
          <w:szCs w:val="24"/>
          <w:vertAlign w:val="subscript"/>
        </w:rPr>
        <w:t>0</w:t>
      </w:r>
      <w:r w:rsidRPr="00BE2228">
        <w:rPr>
          <w:rFonts w:ascii="STIX" w:eastAsia="Times New Roman" w:hAnsi="STIX"/>
          <w:sz w:val="20"/>
          <w:szCs w:val="24"/>
          <w:vertAlign w:val="superscript"/>
        </w:rPr>
        <w:t>2</w:t>
      </w:r>
      <w:r w:rsidRPr="00BE2228">
        <w:rPr>
          <w:rFonts w:ascii="Courier" w:eastAsia="Times New Roman" w:hAnsi="Courier"/>
          <w:sz w:val="20"/>
          <w:szCs w:val="24"/>
        </w:rPr>
        <w:t>/</w:t>
      </w:r>
      <w:r w:rsidRPr="00BE2228">
        <w:rPr>
          <w:rFonts w:ascii="STIX" w:eastAsia="Times New Roman" w:hAnsi="STIX"/>
          <w:sz w:val="20"/>
          <w:szCs w:val="24"/>
        </w:rPr>
        <w:t xml:space="preserve">2 </w:t>
      </w:r>
      <w:r>
        <w:rPr>
          <w:rFonts w:ascii="Courier" w:eastAsia="Times New Roman" w:hAnsi="Courier"/>
          <w:sz w:val="20"/>
          <w:szCs w:val="24"/>
        </w:rPr>
        <w:t>-</w:t>
      </w:r>
      <w:r w:rsidRPr="00BE2228">
        <w:rPr>
          <w:rFonts w:ascii="STIX" w:eastAsia="Times New Roman" w:hAnsi="STIX"/>
          <w:sz w:val="20"/>
          <w:szCs w:val="24"/>
        </w:rPr>
        <w:t xml:space="preserve"> </w:t>
      </w:r>
      <w:r w:rsidRPr="00BE2228">
        <w:rPr>
          <w:rFonts w:ascii="STIX" w:eastAsia="Times New Roman" w:hAnsi="STIX"/>
          <w:i/>
          <w:sz w:val="20"/>
          <w:szCs w:val="24"/>
        </w:rPr>
        <w:t>g</w:t>
      </w:r>
      <w:r w:rsidRPr="00BE2228">
        <w:rPr>
          <w:rFonts w:ascii="Courier" w:eastAsia="Times New Roman" w:hAnsi="Courier"/>
          <w:sz w:val="20"/>
          <w:szCs w:val="24"/>
        </w:rPr>
        <w:t>(</w:t>
      </w:r>
      <w:r w:rsidRPr="00BE2228">
        <w:rPr>
          <w:rFonts w:ascii="STIX" w:eastAsia="Times New Roman" w:hAnsi="STIX"/>
          <w:sz w:val="20"/>
          <w:szCs w:val="24"/>
        </w:rPr>
        <w:t>0</w:t>
      </w:r>
      <w:r w:rsidRPr="00BE2228">
        <w:rPr>
          <w:rFonts w:ascii="Courier" w:eastAsia="Times New Roman" w:hAnsi="Courier"/>
          <w:sz w:val="20"/>
          <w:szCs w:val="24"/>
        </w:rPr>
        <w:t>)</w:t>
      </w:r>
      <w:r w:rsidRPr="00BE2228">
        <w:rPr>
          <w:rFonts w:ascii="STIX" w:eastAsia="Times New Roman" w:hAnsi="STIX"/>
          <w:i/>
          <w:sz w:val="20"/>
          <w:szCs w:val="24"/>
        </w:rPr>
        <w:t>R</w:t>
      </w:r>
      <w:r w:rsidRPr="00BE2228">
        <w:rPr>
          <w:rFonts w:ascii="STIX" w:eastAsia="Times New Roman" w:hAnsi="STIX"/>
          <w:sz w:val="20"/>
          <w:szCs w:val="24"/>
        </w:rPr>
        <w:t>, which can be substituted back into the solution to give</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4"/>
          <w:sz w:val="20"/>
          <w:szCs w:val="24"/>
        </w:rPr>
        <w:object w:dxaOrig="2920" w:dyaOrig="680">
          <v:shape id="_x0000_i1032" type="#_x0000_t75" style="width:146.25pt;height:33.75pt" o:ole="">
            <v:imagedata r:id="rId27" o:title=""/>
          </v:shape>
          <o:OLEObject Type="Embed" ProgID="Equation.DSMT4" ShapeID="_x0000_i1032" DrawAspect="Content" ObjectID="_1552650145" r:id="rId28"/>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or</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26"/>
          <w:sz w:val="20"/>
          <w:szCs w:val="24"/>
        </w:rPr>
        <w:object w:dxaOrig="3200" w:dyaOrig="740">
          <v:shape id="_x0000_i1033" type="#_x0000_t75" style="width:159.75pt;height:36.75pt" o:ole="">
            <v:imagedata r:id="rId29" o:title=""/>
          </v:shape>
          <o:OLEObject Type="Embed" ProgID="Equation.DSMT4" ShapeID="_x0000_i1033" DrawAspect="Content" ObjectID="_1552650146" r:id="rId30"/>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Note that the plus sign holds when the object is moving upwards and the minus sign holds when it is falling.</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b/>
          <w:sz w:val="20"/>
          <w:szCs w:val="24"/>
        </w:rPr>
        <w:t>(d)</w:t>
      </w:r>
      <w:r w:rsidRPr="00BE2228">
        <w:rPr>
          <w:rFonts w:ascii="STIX" w:eastAsia="Times New Roman" w:hAnsi="STIX"/>
          <w:sz w:val="20"/>
          <w:szCs w:val="24"/>
        </w:rPr>
        <w:t xml:space="preserve"> Euler’s method can be developed as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34"/>
          <w:sz w:val="20"/>
          <w:szCs w:val="24"/>
        </w:rPr>
        <w:object w:dxaOrig="4300" w:dyaOrig="800">
          <v:shape id="_x0000_i1034" type="#_x0000_t75" style="width:215.25pt;height:39.75pt" o:ole="">
            <v:imagedata r:id="rId31" o:title=""/>
          </v:shape>
          <o:OLEObject Type="Embed" ProgID="Equation.DSMT4" ShapeID="_x0000_i1034" DrawAspect="Content" ObjectID="_1552650147" r:id="rId32"/>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The first step can be computed as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32"/>
          <w:sz w:val="20"/>
          <w:szCs w:val="24"/>
        </w:rPr>
        <w:object w:dxaOrig="9499" w:dyaOrig="760">
          <v:shape id="_x0000_i1035" type="#_x0000_t75" style="width:474.75pt;height:38.25pt" o:ole="">
            <v:imagedata r:id="rId33" o:title=""/>
          </v:shape>
          <o:OLEObject Type="Embed" ProgID="Equation.DSMT4" ShapeID="_x0000_i1035" DrawAspect="Content" ObjectID="_1552650148" r:id="rId34"/>
        </w:object>
      </w:r>
    </w:p>
    <w:p w:rsidR="00BE2228" w:rsidRPr="00BE2228" w:rsidRDefault="00BE2228" w:rsidP="00BE2228">
      <w:pPr>
        <w:spacing w:after="0" w:line="240" w:lineRule="auto"/>
        <w:rPr>
          <w:rFonts w:ascii="STIX" w:eastAsia="Times New Roman" w:hAnsi="STIX"/>
          <w:sz w:val="20"/>
          <w:szCs w:val="24"/>
        </w:rPr>
      </w:pPr>
    </w:p>
    <w:p w:rsidR="00BE2228" w:rsidRDefault="00BE2228" w:rsidP="00BE2228">
      <w:pPr>
        <w:rPr>
          <w:rFonts w:ascii="STIX" w:hAnsi="STIX" w:cs="STIX"/>
          <w:i/>
          <w:sz w:val="20"/>
          <w:szCs w:val="20"/>
        </w:rPr>
        <w:sectPr w:rsidR="00BE2228"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lastRenderedPageBreak/>
        <w:t>The remainder of the calculations can be implemented in a similar fashion as in the following table</w:t>
      </w:r>
    </w:p>
    <w:p w:rsidR="00BE2228" w:rsidRPr="00BE2228" w:rsidRDefault="00BE2228" w:rsidP="00BE2228">
      <w:pPr>
        <w:spacing w:after="0" w:line="240" w:lineRule="auto"/>
        <w:rPr>
          <w:rFonts w:ascii="STIX" w:eastAsia="Times New Roman" w:hAnsi="STIX"/>
          <w:sz w:val="20"/>
          <w:szCs w:val="24"/>
        </w:rPr>
      </w:pPr>
    </w:p>
    <w:tbl>
      <w:tblPr>
        <w:tblW w:w="5717" w:type="dxa"/>
        <w:tblInd w:w="418" w:type="dxa"/>
        <w:tblLayout w:type="fixed"/>
        <w:tblLook w:val="0000"/>
      </w:tblPr>
      <w:tblGrid>
        <w:gridCol w:w="1429"/>
        <w:gridCol w:w="1429"/>
        <w:gridCol w:w="1429"/>
        <w:gridCol w:w="1430"/>
      </w:tblGrid>
      <w:tr w:rsidR="00BE2228" w:rsidRPr="00BE2228" w:rsidTr="00FF7247">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b/>
                <w:i/>
                <w:sz w:val="18"/>
                <w:szCs w:val="20"/>
              </w:rPr>
            </w:pPr>
            <w:r w:rsidRPr="00BE2228">
              <w:rPr>
                <w:rFonts w:ascii="STIX" w:eastAsia="Times New Roman" w:hAnsi="STIX" w:cs="STIX MathJax Main"/>
                <w:b/>
                <w:i/>
                <w:sz w:val="18"/>
                <w:szCs w:val="20"/>
              </w:rPr>
              <w:t>x</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b/>
                <w:i/>
                <w:sz w:val="18"/>
                <w:szCs w:val="20"/>
              </w:rPr>
            </w:pPr>
            <w:r w:rsidRPr="00BE2228">
              <w:rPr>
                <w:rFonts w:ascii="STIX" w:eastAsia="Times New Roman" w:hAnsi="STIX" w:cs="STIX MathJax Main"/>
                <w:b/>
                <w:i/>
                <w:sz w:val="18"/>
                <w:szCs w:val="20"/>
              </w:rPr>
              <w:t>v</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b/>
                <w:sz w:val="18"/>
                <w:szCs w:val="20"/>
              </w:rPr>
            </w:pPr>
            <w:r w:rsidRPr="00BE2228">
              <w:rPr>
                <w:rFonts w:ascii="STIX" w:eastAsia="Times New Roman" w:hAnsi="STIX" w:cs="STIX MathJax Main"/>
                <w:b/>
                <w:i/>
                <w:sz w:val="18"/>
                <w:szCs w:val="20"/>
              </w:rPr>
              <w:t>dv</w:t>
            </w:r>
            <w:r w:rsidRPr="00BE2228">
              <w:rPr>
                <w:rFonts w:ascii="Courier" w:eastAsia="Times New Roman" w:hAnsi="Courier" w:cs="STIX MathJax Main"/>
                <w:b/>
                <w:sz w:val="18"/>
                <w:szCs w:val="20"/>
              </w:rPr>
              <w:t>/</w:t>
            </w:r>
            <w:r w:rsidRPr="00BE2228">
              <w:rPr>
                <w:rFonts w:ascii="STIX" w:eastAsia="Times New Roman" w:hAnsi="STIX" w:cs="STIX MathJax Main"/>
                <w:b/>
                <w:i/>
                <w:sz w:val="18"/>
                <w:szCs w:val="20"/>
              </w:rPr>
              <w:t>dx</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b/>
                <w:sz w:val="18"/>
                <w:szCs w:val="20"/>
              </w:rPr>
            </w:pPr>
            <w:r w:rsidRPr="00BE2228">
              <w:rPr>
                <w:rFonts w:ascii="STIX" w:eastAsia="Times New Roman" w:hAnsi="STIX" w:cs="STIX MathJax Main"/>
                <w:b/>
                <w:i/>
                <w:sz w:val="18"/>
                <w:szCs w:val="20"/>
              </w:rPr>
              <w:t>v</w:t>
            </w:r>
            <w:r w:rsidRPr="00BE2228">
              <w:rPr>
                <w:rFonts w:ascii="STIX" w:eastAsia="Times New Roman" w:hAnsi="STIX" w:cs="STIX MathJax Main"/>
                <w:b/>
                <w:sz w:val="18"/>
                <w:szCs w:val="20"/>
              </w:rPr>
              <w:t>-analytical</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1500.000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-0.00654</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1500.000</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1434.600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-0.00682</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1433.216</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20000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1366.433</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-0.00713</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1363.388</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30000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1295.089</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-0.00750</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1290.023</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40000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1220.050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-0.00794</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1212.476</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50000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1140.644</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-0.00847</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1129.885</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60000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1055.974</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-0.00912</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1041.050</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70000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964.800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-0.00995</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944.208</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80000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865.319</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-0.01106</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836.581</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90000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754.745</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-0.01264</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713.303</w:t>
            </w:r>
          </w:p>
        </w:tc>
      </w:tr>
      <w:tr w:rsidR="00BE2228" w:rsidRPr="00BE2228" w:rsidTr="00FF7247">
        <w:tblPrEx>
          <w:tblCellMar>
            <w:left w:w="0" w:type="dxa"/>
            <w:right w:w="0" w:type="dxa"/>
          </w:tblCellMar>
        </w:tblPrEx>
        <w:trPr>
          <w:trHeight w:val="360"/>
        </w:trPr>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100000</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628.364</w:t>
            </w:r>
          </w:p>
        </w:tc>
        <w:tc>
          <w:tcPr>
            <w:tcW w:w="1429"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-0.01513</w:t>
            </w:r>
          </w:p>
        </w:tc>
        <w:tc>
          <w:tcPr>
            <w:tcW w:w="1430" w:type="dxa"/>
            <w:shd w:val="clear" w:color="auto" w:fill="auto"/>
            <w:noWrap/>
            <w:vAlign w:val="center"/>
          </w:tcPr>
          <w:p w:rsidR="00BE2228" w:rsidRPr="00BE2228" w:rsidRDefault="00BE2228" w:rsidP="00BE2228">
            <w:pPr>
              <w:spacing w:after="0" w:line="240" w:lineRule="auto"/>
              <w:jc w:val="center"/>
              <w:rPr>
                <w:rFonts w:ascii="STIX MathJax Main" w:eastAsia="Times New Roman" w:hAnsi="STIX MathJax Main" w:cs="STIX MathJax Main"/>
                <w:sz w:val="18"/>
                <w:szCs w:val="20"/>
              </w:rPr>
            </w:pPr>
            <w:r w:rsidRPr="00BE2228">
              <w:rPr>
                <w:rFonts w:ascii="STIX" w:eastAsia="Times New Roman" w:hAnsi="STIX" w:cs="STIX MathJax Main"/>
                <w:sz w:val="18"/>
                <w:szCs w:val="20"/>
              </w:rPr>
              <w:t>564.203</w:t>
            </w:r>
          </w:p>
        </w:tc>
      </w:tr>
    </w:tbl>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For the analytical solution, the value at 10,000 m can be computed as</w: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position w:val="-30"/>
          <w:sz w:val="20"/>
          <w:szCs w:val="24"/>
        </w:rPr>
        <w:object w:dxaOrig="7220" w:dyaOrig="780">
          <v:shape id="_x0000_i1036" type="#_x0000_t75" style="width:360.75pt;height:39pt" o:ole="">
            <v:imagedata r:id="rId35" o:title=""/>
          </v:shape>
          <o:OLEObject Type="Embed" ProgID="Equation.DSMT4" ShapeID="_x0000_i1036" DrawAspect="Content" ObjectID="_1552650149" r:id="rId36"/>
        </w:object>
      </w:r>
    </w:p>
    <w:p w:rsidR="00BE2228" w:rsidRPr="00BE2228" w:rsidRDefault="00BE2228" w:rsidP="00BE2228">
      <w:pPr>
        <w:spacing w:after="0" w:line="240" w:lineRule="auto"/>
        <w:rPr>
          <w:rFonts w:ascii="STIX" w:eastAsia="Times New Roman" w:hAnsi="STIX"/>
          <w:sz w:val="20"/>
          <w:szCs w:val="24"/>
        </w:rPr>
      </w:pPr>
    </w:p>
    <w:p w:rsidR="00BE2228" w:rsidRPr="00BE2228" w:rsidRDefault="00BE2228" w:rsidP="00BE2228">
      <w:pPr>
        <w:spacing w:after="0" w:line="240" w:lineRule="auto"/>
        <w:rPr>
          <w:rFonts w:ascii="STIX" w:eastAsia="Times New Roman" w:hAnsi="STIX"/>
          <w:sz w:val="20"/>
          <w:szCs w:val="24"/>
        </w:rPr>
      </w:pPr>
      <w:r w:rsidRPr="00BE2228">
        <w:rPr>
          <w:rFonts w:ascii="STIX" w:eastAsia="Times New Roman" w:hAnsi="STIX"/>
          <w:sz w:val="20"/>
          <w:szCs w:val="24"/>
        </w:rPr>
        <w:t>The remainder of the analytical values can be implemented in a similar fashion as in the last column of the above table. The numerical and analytical solutions can be displayed graphically.</w:t>
      </w:r>
    </w:p>
    <w:p w:rsidR="00BE2228" w:rsidRPr="00BE2228" w:rsidRDefault="00BE2228" w:rsidP="00BE2228">
      <w:pPr>
        <w:spacing w:after="0" w:line="240" w:lineRule="auto"/>
        <w:rPr>
          <w:rFonts w:ascii="STIX" w:eastAsia="Times New Roman" w:hAnsi="STIX"/>
          <w:sz w:val="20"/>
          <w:szCs w:val="24"/>
        </w:rPr>
      </w:pPr>
      <w:r w:rsidRPr="00BE2228">
        <w:rPr>
          <w:rFonts w:ascii="STIX MathJax Main" w:eastAsia="Times New Roman" w:hAnsi="STIX MathJax Main"/>
          <w:noProof/>
          <w:sz w:val="20"/>
          <w:szCs w:val="24"/>
        </w:rPr>
        <w:drawing>
          <wp:inline distT="0" distB="0" distL="0" distR="0">
            <wp:extent cx="3542030" cy="1337310"/>
            <wp:effectExtent l="0" t="0" r="1270" b="0"/>
            <wp:docPr id="1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7"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42030" cy="1337310"/>
                    </a:xfrm>
                    <a:prstGeom prst="rect">
                      <a:avLst/>
                    </a:prstGeom>
                    <a:noFill/>
                    <a:ln>
                      <a:noFill/>
                    </a:ln>
                  </pic:spPr>
                </pic:pic>
              </a:graphicData>
            </a:graphic>
          </wp:inline>
        </w:drawing>
      </w:r>
    </w:p>
    <w:p w:rsidR="00BE2228" w:rsidRPr="00BE2228" w:rsidRDefault="00BE2228" w:rsidP="00BE2228">
      <w:pPr>
        <w:spacing w:after="0" w:line="240" w:lineRule="auto"/>
        <w:rPr>
          <w:rFonts w:ascii="STIX" w:eastAsia="Times New Roman" w:hAnsi="STIX"/>
          <w:b/>
          <w:bCs/>
          <w:sz w:val="20"/>
          <w:szCs w:val="24"/>
        </w:rPr>
      </w:pPr>
    </w:p>
    <w:p w:rsidR="002B099C" w:rsidRPr="002B099C" w:rsidRDefault="002B099C" w:rsidP="00BE2228">
      <w:pPr>
        <w:keepNext/>
        <w:spacing w:after="0" w:line="240" w:lineRule="auto"/>
        <w:outlineLvl w:val="2"/>
        <w:rPr>
          <w:rFonts w:ascii="STIX" w:eastAsia="Times New Roman" w:hAnsi="STIX"/>
          <w:sz w:val="20"/>
          <w:szCs w:val="24"/>
        </w:rPr>
      </w:pPr>
    </w:p>
    <w:sectPr w:rsidR="002B099C" w:rsidRPr="002B099C" w:rsidSect="002C1C68">
      <w:footerReference w:type="default" r:id="rId3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1" w:rsidRDefault="004509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1" w:rsidRPr="004509B1" w:rsidRDefault="004509B1">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1" w:rsidRDefault="004509B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1" w:rsidRDefault="004509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1" w:rsidRDefault="004509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9B1" w:rsidRDefault="004509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9B1"/>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6EEA"/>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xml"/><Relationship Id="rId34" Type="http://schemas.openxmlformats.org/officeDocument/2006/relationships/oleObject" Target="embeddings/oleObject11.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oter" Target="footer4.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2.xml"/><Relationship Id="rId29"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3.xml"/><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3.xml"/><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2.bin"/><Relationship Id="rId19" Type="http://schemas.openxmlformats.org/officeDocument/2006/relationships/header" Target="header1.xml"/><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2.xml"/><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2017-03-29T16:01:00Z</dcterms:created>
  <dcterms:modified xsi:type="dcterms:W3CDTF">2017-04-02T15:43:00Z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