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EE4C1A" w:rsidRPr="00F55E71">
        <w:rPr>
          <w:b/>
          <w:sz w:val="20"/>
          <w:szCs w:val="20"/>
        </w:rPr>
        <w:t>1.</w:t>
      </w:r>
      <w:r w:rsidR="001D222B">
        <w:rPr>
          <w:b/>
          <w:sz w:val="20"/>
          <w:szCs w:val="20"/>
        </w:rPr>
        <w:t>15</w:t>
      </w:r>
    </w:p>
    <w:p w:rsidR="00983C57" w:rsidRDefault="00983C57" w:rsidP="001B2705">
      <w:pPr>
        <w:pStyle w:val="Default"/>
        <w:rPr>
          <w:b/>
          <w:sz w:val="20"/>
          <w:szCs w:val="20"/>
        </w:rPr>
      </w:pPr>
    </w:p>
    <w:p w:rsidR="001D222B" w:rsidRPr="001D222B" w:rsidRDefault="001D222B" w:rsidP="001D222B">
      <w:pPr>
        <w:spacing w:after="0" w:line="240" w:lineRule="auto"/>
        <w:rPr>
          <w:rFonts w:ascii="STIX" w:eastAsia="Times New Roman" w:hAnsi="STIX"/>
          <w:sz w:val="20"/>
          <w:szCs w:val="24"/>
        </w:rPr>
      </w:pPr>
      <w:r w:rsidRPr="001D222B">
        <w:rPr>
          <w:rFonts w:ascii="STIX" w:eastAsia="Times New Roman" w:hAnsi="STIX"/>
          <w:sz w:val="20"/>
          <w:szCs w:val="24"/>
        </w:rPr>
        <w:t>The volume of the droplet is related to the radius as</w:t>
      </w:r>
    </w:p>
    <w:p w:rsidR="001D222B" w:rsidRPr="001D222B" w:rsidRDefault="001D222B" w:rsidP="001D222B">
      <w:pPr>
        <w:spacing w:after="0" w:line="240" w:lineRule="auto"/>
        <w:rPr>
          <w:rFonts w:ascii="STIX" w:eastAsia="Times New Roman" w:hAnsi="STIX"/>
          <w:sz w:val="20"/>
          <w:szCs w:val="24"/>
        </w:rPr>
      </w:pPr>
    </w:p>
    <w:p w:rsidR="001D222B" w:rsidRPr="001D222B" w:rsidRDefault="001D222B" w:rsidP="001D222B">
      <w:pPr>
        <w:spacing w:after="0" w:line="240" w:lineRule="auto"/>
        <w:rPr>
          <w:rFonts w:ascii="STIX" w:eastAsia="Times New Roman" w:hAnsi="STIX"/>
          <w:sz w:val="20"/>
          <w:szCs w:val="24"/>
        </w:rPr>
      </w:pPr>
      <w:r w:rsidRPr="001D222B">
        <w:rPr>
          <w:rFonts w:ascii="STIX MathJax Main" w:eastAsia="Times New Roman" w:hAnsi="STIX MathJax Main"/>
          <w:position w:val="-24"/>
          <w:sz w:val="20"/>
          <w:szCs w:val="24"/>
        </w:rPr>
        <w:object w:dxaOrig="96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33pt" o:ole="">
            <v:imagedata r:id="rId7" o:title=""/>
          </v:shape>
          <o:OLEObject Type="Embed" ProgID="Equation.DSMT4" ShapeID="_x0000_i1025" DrawAspect="Content" ObjectID="_1552650170" r:id="rId8"/>
        </w:object>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t>(1)</w:t>
      </w:r>
    </w:p>
    <w:p w:rsidR="001D222B" w:rsidRPr="001D222B" w:rsidRDefault="001D222B" w:rsidP="001D222B">
      <w:pPr>
        <w:spacing w:after="0" w:line="240" w:lineRule="auto"/>
        <w:rPr>
          <w:rFonts w:ascii="STIX" w:eastAsia="Times New Roman" w:hAnsi="STIX"/>
          <w:sz w:val="20"/>
          <w:szCs w:val="24"/>
        </w:rPr>
      </w:pPr>
    </w:p>
    <w:p w:rsidR="001D222B" w:rsidRPr="001D222B" w:rsidRDefault="001D222B" w:rsidP="001D222B">
      <w:pPr>
        <w:spacing w:after="0" w:line="240" w:lineRule="auto"/>
        <w:rPr>
          <w:rFonts w:ascii="STIX" w:eastAsia="Times New Roman" w:hAnsi="STIX"/>
          <w:sz w:val="20"/>
          <w:szCs w:val="24"/>
        </w:rPr>
      </w:pPr>
      <w:r w:rsidRPr="001D222B">
        <w:rPr>
          <w:rFonts w:ascii="STIX" w:eastAsia="Times New Roman" w:hAnsi="STIX"/>
          <w:sz w:val="20"/>
          <w:szCs w:val="24"/>
        </w:rPr>
        <w:t>This equation can be solved for radius as</w:t>
      </w:r>
    </w:p>
    <w:p w:rsidR="001D222B" w:rsidRPr="001D222B" w:rsidRDefault="001D222B" w:rsidP="001D222B">
      <w:pPr>
        <w:spacing w:after="0" w:line="240" w:lineRule="auto"/>
        <w:rPr>
          <w:rFonts w:ascii="STIX" w:eastAsia="Times New Roman" w:hAnsi="STIX"/>
          <w:sz w:val="20"/>
          <w:szCs w:val="24"/>
        </w:rPr>
      </w:pPr>
    </w:p>
    <w:p w:rsidR="001D222B" w:rsidRPr="001D222B" w:rsidRDefault="001D222B" w:rsidP="001D222B">
      <w:pPr>
        <w:spacing w:after="0" w:line="240" w:lineRule="auto"/>
        <w:rPr>
          <w:rFonts w:ascii="STIX" w:eastAsia="Times New Roman" w:hAnsi="STIX"/>
          <w:sz w:val="20"/>
          <w:szCs w:val="24"/>
        </w:rPr>
      </w:pPr>
      <w:r w:rsidRPr="001D222B">
        <w:rPr>
          <w:rFonts w:ascii="STIX MathJax Main" w:eastAsia="Times New Roman" w:hAnsi="STIX MathJax Main"/>
          <w:position w:val="-26"/>
          <w:sz w:val="20"/>
          <w:szCs w:val="24"/>
        </w:rPr>
        <w:object w:dxaOrig="900" w:dyaOrig="720">
          <v:shape id="_x0000_i1026" type="#_x0000_t75" style="width:45pt;height:36pt" o:ole="">
            <v:imagedata r:id="rId9" o:title=""/>
          </v:shape>
          <o:OLEObject Type="Embed" ProgID="Equation.DSMT4" ShapeID="_x0000_i1026" DrawAspect="Content" ObjectID="_1552650171" r:id="rId10"/>
        </w:object>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t>(2)</w:t>
      </w:r>
      <w:r w:rsidRPr="001D222B">
        <w:rPr>
          <w:rFonts w:ascii="STIX" w:eastAsia="Times New Roman" w:hAnsi="STIX"/>
          <w:sz w:val="20"/>
          <w:szCs w:val="24"/>
        </w:rPr>
        <w:tab/>
      </w:r>
      <w:r w:rsidRPr="001D222B">
        <w:rPr>
          <w:rFonts w:ascii="STIX" w:eastAsia="Times New Roman" w:hAnsi="STIX"/>
          <w:sz w:val="20"/>
          <w:szCs w:val="24"/>
        </w:rPr>
        <w:tab/>
      </w:r>
    </w:p>
    <w:p w:rsidR="001D222B" w:rsidRPr="001D222B" w:rsidRDefault="001D222B" w:rsidP="001D222B">
      <w:pPr>
        <w:spacing w:after="0" w:line="240" w:lineRule="auto"/>
        <w:rPr>
          <w:rFonts w:ascii="STIX" w:eastAsia="Times New Roman" w:hAnsi="STIX"/>
          <w:sz w:val="20"/>
          <w:szCs w:val="24"/>
        </w:rPr>
      </w:pPr>
    </w:p>
    <w:p w:rsidR="001D222B" w:rsidRPr="001D222B" w:rsidRDefault="001D222B" w:rsidP="001D222B">
      <w:pPr>
        <w:spacing w:after="0" w:line="240" w:lineRule="auto"/>
        <w:rPr>
          <w:rFonts w:ascii="STIX" w:eastAsia="Times New Roman" w:hAnsi="STIX"/>
          <w:sz w:val="20"/>
          <w:szCs w:val="24"/>
        </w:rPr>
      </w:pPr>
      <w:r w:rsidRPr="001D222B">
        <w:rPr>
          <w:rFonts w:ascii="STIX" w:eastAsia="Times New Roman" w:hAnsi="STIX"/>
          <w:sz w:val="20"/>
          <w:szCs w:val="24"/>
        </w:rPr>
        <w:t>The surface area is</w:t>
      </w:r>
    </w:p>
    <w:p w:rsidR="001D222B" w:rsidRPr="001D222B" w:rsidRDefault="001D222B" w:rsidP="001D222B">
      <w:pPr>
        <w:spacing w:after="0" w:line="240" w:lineRule="auto"/>
        <w:rPr>
          <w:rFonts w:ascii="STIX" w:eastAsia="Times New Roman" w:hAnsi="STIX"/>
          <w:sz w:val="20"/>
          <w:szCs w:val="24"/>
        </w:rPr>
      </w:pPr>
    </w:p>
    <w:p w:rsidR="001D222B" w:rsidRPr="001D222B" w:rsidRDefault="001D222B" w:rsidP="001D222B">
      <w:pPr>
        <w:spacing w:after="0" w:line="240" w:lineRule="auto"/>
        <w:rPr>
          <w:rFonts w:ascii="STIX" w:eastAsia="Times New Roman" w:hAnsi="STIX"/>
          <w:sz w:val="20"/>
          <w:szCs w:val="24"/>
        </w:rPr>
      </w:pPr>
      <w:r w:rsidRPr="001D222B">
        <w:rPr>
          <w:rFonts w:ascii="STIX MathJax Main" w:eastAsia="Times New Roman" w:hAnsi="STIX MathJax Main"/>
          <w:position w:val="-6"/>
          <w:sz w:val="20"/>
          <w:szCs w:val="24"/>
        </w:rPr>
        <w:object w:dxaOrig="920" w:dyaOrig="340">
          <v:shape id="_x0000_i1027" type="#_x0000_t75" style="width:45.75pt;height:17.25pt" o:ole="">
            <v:imagedata r:id="rId11" o:title=""/>
          </v:shape>
          <o:OLEObject Type="Embed" ProgID="Equation.DSMT4" ShapeID="_x0000_i1027" DrawAspect="Content" ObjectID="_1552650172" r:id="rId12"/>
        </w:object>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t>(3)</w:t>
      </w:r>
    </w:p>
    <w:p w:rsidR="001D222B" w:rsidRPr="001D222B" w:rsidRDefault="001D222B" w:rsidP="001D222B">
      <w:pPr>
        <w:spacing w:after="0" w:line="240" w:lineRule="auto"/>
        <w:rPr>
          <w:rFonts w:ascii="STIX" w:eastAsia="Times New Roman" w:hAnsi="STIX"/>
          <w:sz w:val="20"/>
          <w:szCs w:val="24"/>
        </w:rPr>
      </w:pPr>
    </w:p>
    <w:p w:rsidR="001D222B" w:rsidRPr="001D222B" w:rsidRDefault="001D222B" w:rsidP="001D222B">
      <w:pPr>
        <w:spacing w:after="0" w:line="240" w:lineRule="auto"/>
        <w:rPr>
          <w:rFonts w:ascii="STIX" w:eastAsia="Times New Roman" w:hAnsi="STIX"/>
          <w:sz w:val="20"/>
          <w:szCs w:val="24"/>
        </w:rPr>
      </w:pPr>
      <w:r w:rsidRPr="001D222B">
        <w:rPr>
          <w:rFonts w:ascii="STIX" w:eastAsia="Times New Roman" w:hAnsi="STIX"/>
          <w:sz w:val="20"/>
          <w:szCs w:val="24"/>
        </w:rPr>
        <w:t>Equation (2) can be substituted into Eq. (3) to express area as a function of volume</w:t>
      </w:r>
    </w:p>
    <w:p w:rsidR="001D222B" w:rsidRPr="001D222B" w:rsidRDefault="001D222B" w:rsidP="001D222B">
      <w:pPr>
        <w:spacing w:after="0" w:line="240" w:lineRule="auto"/>
        <w:rPr>
          <w:rFonts w:ascii="STIX" w:eastAsia="Times New Roman" w:hAnsi="STIX"/>
          <w:sz w:val="20"/>
          <w:szCs w:val="24"/>
        </w:rPr>
      </w:pPr>
    </w:p>
    <w:p w:rsidR="001D222B" w:rsidRPr="001D222B" w:rsidRDefault="001D222B" w:rsidP="001D222B">
      <w:pPr>
        <w:spacing w:after="0" w:line="240" w:lineRule="auto"/>
        <w:rPr>
          <w:rFonts w:ascii="STIX" w:eastAsia="Times New Roman" w:hAnsi="STIX"/>
          <w:sz w:val="20"/>
          <w:szCs w:val="24"/>
        </w:rPr>
      </w:pPr>
      <w:r w:rsidRPr="001D222B">
        <w:rPr>
          <w:rFonts w:ascii="STIX MathJax Main" w:eastAsia="Times New Roman" w:hAnsi="STIX MathJax Main"/>
          <w:position w:val="-30"/>
          <w:sz w:val="20"/>
          <w:szCs w:val="24"/>
        </w:rPr>
        <w:object w:dxaOrig="1520" w:dyaOrig="780">
          <v:shape id="_x0000_i1028" type="#_x0000_t75" style="width:75.75pt;height:39pt" o:ole="">
            <v:imagedata r:id="rId13" o:title=""/>
          </v:shape>
          <o:OLEObject Type="Embed" ProgID="Equation.DSMT4" ShapeID="_x0000_i1028" DrawAspect="Content" ObjectID="_1552650173" r:id="rId14"/>
        </w:object>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p>
    <w:p w:rsidR="001D222B" w:rsidRPr="001D222B" w:rsidRDefault="001D222B" w:rsidP="001D222B">
      <w:pPr>
        <w:spacing w:after="0" w:line="240" w:lineRule="auto"/>
        <w:rPr>
          <w:rFonts w:ascii="STIX" w:eastAsia="Times New Roman" w:hAnsi="STIX"/>
          <w:sz w:val="20"/>
          <w:szCs w:val="24"/>
        </w:rPr>
      </w:pPr>
    </w:p>
    <w:p w:rsidR="001D222B" w:rsidRPr="001D222B" w:rsidRDefault="001D222B" w:rsidP="001D222B">
      <w:pPr>
        <w:spacing w:after="0" w:line="240" w:lineRule="auto"/>
        <w:rPr>
          <w:rFonts w:ascii="STIX" w:eastAsia="Times New Roman" w:hAnsi="STIX"/>
          <w:sz w:val="20"/>
          <w:szCs w:val="24"/>
        </w:rPr>
      </w:pPr>
      <w:r w:rsidRPr="001D222B">
        <w:rPr>
          <w:rFonts w:ascii="STIX" w:eastAsia="Times New Roman" w:hAnsi="STIX"/>
          <w:sz w:val="20"/>
          <w:szCs w:val="24"/>
        </w:rPr>
        <w:t>This result can then be substituted into the original differential equation,</w:t>
      </w:r>
    </w:p>
    <w:p w:rsidR="001D222B" w:rsidRPr="001D222B" w:rsidRDefault="001D222B" w:rsidP="001D222B">
      <w:pPr>
        <w:spacing w:after="0" w:line="240" w:lineRule="auto"/>
        <w:rPr>
          <w:rFonts w:ascii="STIX" w:eastAsia="Times New Roman" w:hAnsi="STIX"/>
          <w:sz w:val="20"/>
          <w:szCs w:val="24"/>
        </w:rPr>
      </w:pPr>
    </w:p>
    <w:p w:rsidR="001D222B" w:rsidRPr="001D222B" w:rsidRDefault="001D222B" w:rsidP="001D222B">
      <w:pPr>
        <w:spacing w:after="0" w:line="240" w:lineRule="auto"/>
        <w:rPr>
          <w:rFonts w:ascii="STIX" w:eastAsia="Times New Roman" w:hAnsi="STIX"/>
          <w:sz w:val="20"/>
          <w:szCs w:val="24"/>
        </w:rPr>
      </w:pPr>
      <w:r w:rsidRPr="001D222B">
        <w:rPr>
          <w:rFonts w:ascii="STIX MathJax Main" w:eastAsia="Times New Roman" w:hAnsi="STIX MathJax Main"/>
          <w:position w:val="-30"/>
          <w:sz w:val="20"/>
          <w:szCs w:val="24"/>
        </w:rPr>
        <w:object w:dxaOrig="1960" w:dyaOrig="780">
          <v:shape id="_x0000_i1029" type="#_x0000_t75" style="width:98.25pt;height:39pt" o:ole="">
            <v:imagedata r:id="rId15" o:title=""/>
          </v:shape>
          <o:OLEObject Type="Embed" ProgID="Equation.DSMT4" ShapeID="_x0000_i1029" DrawAspect="Content" ObjectID="_1552650174" r:id="rId16"/>
        </w:object>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r>
      <w:r w:rsidRPr="001D222B">
        <w:rPr>
          <w:rFonts w:ascii="STIX" w:eastAsia="Times New Roman" w:hAnsi="STIX"/>
          <w:sz w:val="20"/>
          <w:szCs w:val="24"/>
        </w:rPr>
        <w:tab/>
        <w:t>(4)</w:t>
      </w:r>
    </w:p>
    <w:p w:rsidR="001D222B" w:rsidRPr="001D222B" w:rsidRDefault="001D222B" w:rsidP="001D222B">
      <w:pPr>
        <w:spacing w:after="0" w:line="240" w:lineRule="auto"/>
        <w:rPr>
          <w:rFonts w:ascii="STIX" w:eastAsia="Times New Roman" w:hAnsi="STIX"/>
          <w:sz w:val="20"/>
          <w:szCs w:val="24"/>
        </w:rPr>
      </w:pPr>
    </w:p>
    <w:p w:rsidR="001D222B" w:rsidRPr="001D222B" w:rsidRDefault="001D222B" w:rsidP="001D222B">
      <w:pPr>
        <w:spacing w:after="0" w:line="240" w:lineRule="auto"/>
        <w:rPr>
          <w:rFonts w:ascii="STIX" w:eastAsia="Times New Roman" w:hAnsi="STIX"/>
          <w:sz w:val="20"/>
          <w:szCs w:val="24"/>
        </w:rPr>
      </w:pPr>
      <w:r w:rsidRPr="001D222B">
        <w:rPr>
          <w:rFonts w:ascii="STIX" w:eastAsia="Times New Roman" w:hAnsi="STIX"/>
          <w:sz w:val="20"/>
          <w:szCs w:val="24"/>
        </w:rPr>
        <w:t>The initial volume can be computed with Eq. (1),</w:t>
      </w:r>
    </w:p>
    <w:p w:rsidR="001D222B" w:rsidRPr="001D222B" w:rsidRDefault="001D222B" w:rsidP="001D222B">
      <w:pPr>
        <w:spacing w:after="0" w:line="240" w:lineRule="auto"/>
        <w:rPr>
          <w:rFonts w:ascii="STIX" w:eastAsia="Times New Roman" w:hAnsi="STIX"/>
          <w:sz w:val="20"/>
          <w:szCs w:val="24"/>
        </w:rPr>
      </w:pPr>
    </w:p>
    <w:p w:rsidR="001D222B" w:rsidRPr="001D222B" w:rsidRDefault="001D222B" w:rsidP="001D222B">
      <w:pPr>
        <w:spacing w:after="0" w:line="240" w:lineRule="auto"/>
        <w:rPr>
          <w:rFonts w:ascii="STIX" w:eastAsia="Times New Roman" w:hAnsi="STIX"/>
          <w:sz w:val="20"/>
          <w:szCs w:val="24"/>
        </w:rPr>
      </w:pPr>
      <w:r w:rsidRPr="001D222B">
        <w:rPr>
          <w:rFonts w:ascii="STIX MathJax Main" w:eastAsia="Times New Roman" w:hAnsi="STIX MathJax Main"/>
          <w:position w:val="-24"/>
          <w:sz w:val="20"/>
          <w:szCs w:val="24"/>
        </w:rPr>
        <w:object w:dxaOrig="3700" w:dyaOrig="660">
          <v:shape id="_x0000_i1030" type="#_x0000_t75" style="width:185.25pt;height:33pt" o:ole="">
            <v:imagedata r:id="rId17" o:title=""/>
          </v:shape>
          <o:OLEObject Type="Embed" ProgID="Equation.DSMT4" ShapeID="_x0000_i1030" DrawAspect="Content" ObjectID="_1552650175" r:id="rId18"/>
        </w:object>
      </w:r>
    </w:p>
    <w:p w:rsidR="001D222B" w:rsidRPr="001D222B" w:rsidRDefault="001D222B" w:rsidP="001D222B">
      <w:pPr>
        <w:spacing w:after="0" w:line="240" w:lineRule="auto"/>
        <w:rPr>
          <w:rFonts w:ascii="STIX" w:eastAsia="Times New Roman" w:hAnsi="STIX"/>
          <w:sz w:val="20"/>
          <w:szCs w:val="24"/>
        </w:rPr>
      </w:pPr>
    </w:p>
    <w:p w:rsidR="001D222B" w:rsidRDefault="001D222B" w:rsidP="001D222B">
      <w:pPr>
        <w:rPr>
          <w:rFonts w:ascii="STIX" w:hAnsi="STIX" w:cs="STIX"/>
          <w:i/>
          <w:sz w:val="20"/>
          <w:szCs w:val="20"/>
        </w:rPr>
        <w:sectPr w:rsidR="001D222B" w:rsidSect="00A24CE3">
          <w:footerReference w:type="default" r:id="rId19"/>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1D222B" w:rsidRPr="001D222B" w:rsidRDefault="001D222B" w:rsidP="001D222B">
      <w:pPr>
        <w:spacing w:after="0" w:line="240" w:lineRule="auto"/>
        <w:rPr>
          <w:rFonts w:ascii="STIX" w:eastAsia="Times New Roman" w:hAnsi="STIX"/>
          <w:sz w:val="20"/>
          <w:szCs w:val="24"/>
        </w:rPr>
      </w:pPr>
      <w:r w:rsidRPr="001D222B">
        <w:rPr>
          <w:rFonts w:ascii="STIX" w:eastAsia="Times New Roman" w:hAnsi="STIX"/>
          <w:sz w:val="20"/>
          <w:szCs w:val="24"/>
        </w:rPr>
        <w:lastRenderedPageBreak/>
        <w:t>Euler’s method can be used to integrate Eq. (4). Here are the beginning and last steps</w:t>
      </w:r>
    </w:p>
    <w:p w:rsidR="001D222B" w:rsidRPr="001D222B" w:rsidRDefault="001D222B" w:rsidP="001D222B">
      <w:pPr>
        <w:spacing w:after="0" w:line="240" w:lineRule="auto"/>
        <w:rPr>
          <w:rFonts w:ascii="STIX" w:eastAsia="Times New Roman" w:hAnsi="STIX"/>
          <w:sz w:val="20"/>
          <w:szCs w:val="20"/>
        </w:rPr>
      </w:pPr>
    </w:p>
    <w:tbl>
      <w:tblPr>
        <w:tblW w:w="3602" w:type="dxa"/>
        <w:tblInd w:w="250" w:type="dxa"/>
        <w:tblLook w:val="0000"/>
      </w:tblPr>
      <w:tblGrid>
        <w:gridCol w:w="1078"/>
        <w:gridCol w:w="1195"/>
        <w:gridCol w:w="1377"/>
      </w:tblGrid>
      <w:tr w:rsidR="001D222B" w:rsidRPr="001D222B" w:rsidTr="00FF7247">
        <w:trPr>
          <w:trHeight w:val="144"/>
        </w:trPr>
        <w:tc>
          <w:tcPr>
            <w:tcW w:w="1062" w:type="dxa"/>
            <w:tcBorders>
              <w:top w:val="single" w:sz="12" w:space="0" w:color="auto"/>
              <w:left w:val="nil"/>
              <w:bottom w:val="single" w:sz="6" w:space="0" w:color="auto"/>
              <w:right w:val="nil"/>
            </w:tcBorders>
            <w:shd w:val="clear" w:color="auto" w:fill="auto"/>
            <w:noWrap/>
            <w:vAlign w:val="center"/>
          </w:tcPr>
          <w:p w:rsidR="001D222B" w:rsidRPr="001D222B" w:rsidRDefault="001D222B" w:rsidP="001D222B">
            <w:pPr>
              <w:spacing w:after="0" w:line="240" w:lineRule="auto"/>
              <w:jc w:val="center"/>
              <w:rPr>
                <w:rFonts w:ascii="STIX MathJax Main" w:eastAsia="Times New Roman" w:hAnsi="STIX MathJax Main" w:cs="STIX MathJax Main"/>
                <w:b/>
                <w:i/>
                <w:sz w:val="20"/>
                <w:szCs w:val="20"/>
              </w:rPr>
            </w:pPr>
            <w:r w:rsidRPr="001D222B">
              <w:rPr>
                <w:rFonts w:ascii="STIX" w:eastAsia="Times New Roman" w:hAnsi="STIX" w:cs="STIX MathJax Main"/>
                <w:b/>
                <w:i/>
                <w:sz w:val="20"/>
                <w:szCs w:val="20"/>
              </w:rPr>
              <w:t>t</w:t>
            </w:r>
          </w:p>
        </w:tc>
        <w:tc>
          <w:tcPr>
            <w:tcW w:w="1179" w:type="dxa"/>
            <w:tcBorders>
              <w:top w:val="single" w:sz="12" w:space="0" w:color="auto"/>
              <w:left w:val="nil"/>
              <w:bottom w:val="single" w:sz="6" w:space="0" w:color="auto"/>
              <w:right w:val="nil"/>
            </w:tcBorders>
            <w:shd w:val="clear" w:color="auto" w:fill="auto"/>
            <w:noWrap/>
            <w:vAlign w:val="center"/>
          </w:tcPr>
          <w:p w:rsidR="001D222B" w:rsidRPr="001D222B" w:rsidRDefault="001D222B" w:rsidP="001D222B">
            <w:pPr>
              <w:spacing w:after="0" w:line="240" w:lineRule="auto"/>
              <w:jc w:val="center"/>
              <w:rPr>
                <w:rFonts w:ascii="STIX MathJax Main" w:eastAsia="Times New Roman" w:hAnsi="STIX MathJax Main" w:cs="STIX MathJax Main"/>
                <w:b/>
                <w:i/>
                <w:sz w:val="20"/>
                <w:szCs w:val="20"/>
              </w:rPr>
            </w:pPr>
            <w:r w:rsidRPr="001D222B">
              <w:rPr>
                <w:rFonts w:ascii="STIX" w:eastAsia="Times New Roman" w:hAnsi="STIX" w:cs="STIX MathJax Main"/>
                <w:b/>
                <w:i/>
                <w:sz w:val="20"/>
                <w:szCs w:val="20"/>
              </w:rPr>
              <w:t>V</w:t>
            </w:r>
          </w:p>
        </w:tc>
        <w:tc>
          <w:tcPr>
            <w:tcW w:w="1361" w:type="dxa"/>
            <w:tcBorders>
              <w:top w:val="single" w:sz="12" w:space="0" w:color="auto"/>
              <w:left w:val="nil"/>
              <w:bottom w:val="single" w:sz="6" w:space="0" w:color="auto"/>
              <w:right w:val="nil"/>
            </w:tcBorders>
            <w:shd w:val="clear" w:color="auto" w:fill="auto"/>
            <w:noWrap/>
            <w:vAlign w:val="center"/>
          </w:tcPr>
          <w:p w:rsidR="001D222B" w:rsidRPr="001D222B" w:rsidRDefault="001D222B" w:rsidP="001D222B">
            <w:pPr>
              <w:spacing w:after="0" w:line="240" w:lineRule="auto"/>
              <w:jc w:val="center"/>
              <w:rPr>
                <w:rFonts w:ascii="STIX MathJax Main" w:eastAsia="Times New Roman" w:hAnsi="STIX MathJax Main" w:cs="STIX MathJax Main"/>
                <w:b/>
                <w:sz w:val="20"/>
                <w:szCs w:val="20"/>
              </w:rPr>
            </w:pPr>
            <w:r w:rsidRPr="001D222B">
              <w:rPr>
                <w:rFonts w:ascii="STIX" w:eastAsia="Times New Roman" w:hAnsi="STIX" w:cs="STIX MathJax Main"/>
                <w:b/>
                <w:i/>
                <w:sz w:val="20"/>
                <w:szCs w:val="20"/>
              </w:rPr>
              <w:t>dV</w:t>
            </w:r>
            <w:r w:rsidRPr="001D222B">
              <w:rPr>
                <w:rFonts w:ascii="Courier" w:eastAsia="Times New Roman" w:hAnsi="Courier" w:cs="STIX MathJax Main"/>
                <w:b/>
                <w:sz w:val="20"/>
                <w:szCs w:val="20"/>
              </w:rPr>
              <w:t>/</w:t>
            </w:r>
            <w:r w:rsidRPr="001D222B">
              <w:rPr>
                <w:rFonts w:ascii="STIX" w:eastAsia="Times New Roman" w:hAnsi="STIX" w:cs="STIX MathJax Main"/>
                <w:b/>
                <w:i/>
                <w:sz w:val="20"/>
                <w:szCs w:val="20"/>
              </w:rPr>
              <w:t>dt</w:t>
            </w:r>
          </w:p>
        </w:tc>
      </w:tr>
      <w:tr w:rsidR="001D222B" w:rsidRPr="001D222B" w:rsidTr="00FF7247">
        <w:tblPrEx>
          <w:tblCellMar>
            <w:left w:w="0" w:type="dxa"/>
            <w:right w:w="0" w:type="dxa"/>
          </w:tblCellMar>
        </w:tblPrEx>
        <w:trPr>
          <w:trHeight w:val="144"/>
        </w:trPr>
        <w:tc>
          <w:tcPr>
            <w:tcW w:w="1062" w:type="dxa"/>
            <w:tcBorders>
              <w:top w:val="nil"/>
              <w:left w:val="nil"/>
              <w:bottom w:val="nil"/>
              <w:right w:val="nil"/>
            </w:tcBorders>
            <w:shd w:val="clear" w:color="auto" w:fill="auto"/>
            <w:noWrap/>
            <w:vAlign w:val="center"/>
          </w:tcPr>
          <w:p w:rsidR="001D222B" w:rsidRPr="001D222B" w:rsidRDefault="001D222B" w:rsidP="001D222B">
            <w:pPr>
              <w:spacing w:after="0" w:line="240" w:lineRule="auto"/>
              <w:jc w:val="center"/>
              <w:rPr>
                <w:rFonts w:ascii="STIX MathJax Main" w:eastAsia="Times New Roman" w:hAnsi="STIX MathJax Main" w:cs="STIX MathJax Main"/>
                <w:sz w:val="18"/>
                <w:szCs w:val="20"/>
              </w:rPr>
            </w:pPr>
            <w:r w:rsidRPr="001D222B">
              <w:rPr>
                <w:rFonts w:ascii="STIX" w:eastAsia="Times New Roman" w:hAnsi="STIX" w:cs="STIX MathJax Main"/>
                <w:sz w:val="18"/>
                <w:szCs w:val="20"/>
              </w:rPr>
              <w:t>0</w:t>
            </w:r>
          </w:p>
        </w:tc>
        <w:tc>
          <w:tcPr>
            <w:tcW w:w="1179" w:type="dxa"/>
            <w:tcBorders>
              <w:top w:val="nil"/>
              <w:left w:val="nil"/>
              <w:bottom w:val="nil"/>
              <w:right w:val="nil"/>
            </w:tcBorders>
            <w:shd w:val="clear" w:color="auto" w:fill="auto"/>
            <w:noWrap/>
            <w:vAlign w:val="center"/>
          </w:tcPr>
          <w:p w:rsidR="001D222B" w:rsidRPr="001D222B" w:rsidRDefault="001D222B" w:rsidP="001D222B">
            <w:pPr>
              <w:spacing w:after="0" w:line="240" w:lineRule="auto"/>
              <w:jc w:val="center"/>
              <w:rPr>
                <w:rFonts w:ascii="STIX MathJax Main" w:eastAsia="Times New Roman" w:hAnsi="STIX MathJax Main" w:cs="STIX MathJax Main"/>
                <w:sz w:val="18"/>
                <w:szCs w:val="20"/>
              </w:rPr>
            </w:pPr>
            <w:r w:rsidRPr="001D222B">
              <w:rPr>
                <w:rFonts w:ascii="STIX" w:eastAsia="Times New Roman" w:hAnsi="STIX" w:cs="STIX MathJax Main"/>
                <w:sz w:val="18"/>
                <w:szCs w:val="20"/>
              </w:rPr>
              <w:t>65.44985</w:t>
            </w:r>
          </w:p>
        </w:tc>
        <w:tc>
          <w:tcPr>
            <w:tcW w:w="1361" w:type="dxa"/>
            <w:tcBorders>
              <w:top w:val="nil"/>
              <w:left w:val="nil"/>
              <w:bottom w:val="nil"/>
              <w:right w:val="nil"/>
            </w:tcBorders>
            <w:shd w:val="clear" w:color="auto" w:fill="auto"/>
            <w:noWrap/>
            <w:vAlign w:val="center"/>
          </w:tcPr>
          <w:p w:rsidR="001D222B" w:rsidRPr="001D222B" w:rsidRDefault="001D222B" w:rsidP="001D222B">
            <w:pPr>
              <w:spacing w:after="0" w:line="240" w:lineRule="auto"/>
              <w:jc w:val="center"/>
              <w:rPr>
                <w:rFonts w:ascii="STIX MathJax Main" w:eastAsia="Times New Roman" w:hAnsi="STIX MathJax Main" w:cs="STIX MathJax Main"/>
                <w:sz w:val="18"/>
                <w:szCs w:val="20"/>
              </w:rPr>
            </w:pPr>
            <w:r w:rsidRPr="001D222B">
              <w:rPr>
                <w:rFonts w:ascii="STIX" w:eastAsia="Times New Roman" w:hAnsi="STIX" w:cs="STIX MathJax Main"/>
                <w:sz w:val="18"/>
                <w:szCs w:val="20"/>
              </w:rPr>
              <w:t>-6.28319</w:t>
            </w:r>
          </w:p>
        </w:tc>
      </w:tr>
      <w:tr w:rsidR="001D222B" w:rsidRPr="001D222B" w:rsidTr="00FF7247">
        <w:tblPrEx>
          <w:tblCellMar>
            <w:left w:w="0" w:type="dxa"/>
            <w:right w:w="0" w:type="dxa"/>
          </w:tblCellMar>
        </w:tblPrEx>
        <w:trPr>
          <w:trHeight w:val="144"/>
        </w:trPr>
        <w:tc>
          <w:tcPr>
            <w:tcW w:w="1062" w:type="dxa"/>
            <w:tcBorders>
              <w:top w:val="nil"/>
              <w:left w:val="nil"/>
              <w:bottom w:val="nil"/>
              <w:right w:val="nil"/>
            </w:tcBorders>
            <w:shd w:val="clear" w:color="auto" w:fill="auto"/>
            <w:noWrap/>
            <w:vAlign w:val="center"/>
          </w:tcPr>
          <w:p w:rsidR="001D222B" w:rsidRPr="001D222B" w:rsidRDefault="001D222B" w:rsidP="001D222B">
            <w:pPr>
              <w:spacing w:after="0" w:line="240" w:lineRule="auto"/>
              <w:jc w:val="center"/>
              <w:rPr>
                <w:rFonts w:ascii="STIX MathJax Main" w:eastAsia="Times New Roman" w:hAnsi="STIX MathJax Main" w:cs="STIX MathJax Main"/>
                <w:sz w:val="18"/>
                <w:szCs w:val="20"/>
              </w:rPr>
            </w:pPr>
            <w:r w:rsidRPr="001D222B">
              <w:rPr>
                <w:rFonts w:ascii="STIX" w:eastAsia="Times New Roman" w:hAnsi="STIX" w:cs="STIX MathJax Main"/>
                <w:sz w:val="18"/>
                <w:szCs w:val="20"/>
              </w:rPr>
              <w:t>0.25</w:t>
            </w:r>
          </w:p>
        </w:tc>
        <w:tc>
          <w:tcPr>
            <w:tcW w:w="1179" w:type="dxa"/>
            <w:tcBorders>
              <w:top w:val="nil"/>
              <w:left w:val="nil"/>
              <w:bottom w:val="nil"/>
              <w:right w:val="nil"/>
            </w:tcBorders>
            <w:shd w:val="clear" w:color="auto" w:fill="auto"/>
            <w:noWrap/>
            <w:vAlign w:val="center"/>
          </w:tcPr>
          <w:p w:rsidR="001D222B" w:rsidRPr="001D222B" w:rsidRDefault="001D222B" w:rsidP="001D222B">
            <w:pPr>
              <w:spacing w:after="0" w:line="240" w:lineRule="auto"/>
              <w:jc w:val="center"/>
              <w:rPr>
                <w:rFonts w:ascii="STIX MathJax Main" w:eastAsia="Times New Roman" w:hAnsi="STIX MathJax Main" w:cs="STIX MathJax Main"/>
                <w:sz w:val="18"/>
                <w:szCs w:val="20"/>
              </w:rPr>
            </w:pPr>
            <w:r w:rsidRPr="001D222B">
              <w:rPr>
                <w:rFonts w:ascii="STIX" w:eastAsia="Times New Roman" w:hAnsi="STIX" w:cs="STIX MathJax Main"/>
                <w:sz w:val="18"/>
                <w:szCs w:val="20"/>
              </w:rPr>
              <w:t>63.87905</w:t>
            </w:r>
          </w:p>
        </w:tc>
        <w:tc>
          <w:tcPr>
            <w:tcW w:w="1361" w:type="dxa"/>
            <w:tcBorders>
              <w:top w:val="nil"/>
              <w:left w:val="nil"/>
              <w:bottom w:val="nil"/>
              <w:right w:val="nil"/>
            </w:tcBorders>
            <w:shd w:val="clear" w:color="auto" w:fill="auto"/>
            <w:noWrap/>
            <w:vAlign w:val="center"/>
          </w:tcPr>
          <w:p w:rsidR="001D222B" w:rsidRPr="001D222B" w:rsidRDefault="001D222B" w:rsidP="001D222B">
            <w:pPr>
              <w:spacing w:after="0" w:line="240" w:lineRule="auto"/>
              <w:jc w:val="center"/>
              <w:rPr>
                <w:rFonts w:ascii="STIX MathJax Main" w:eastAsia="Times New Roman" w:hAnsi="STIX MathJax Main" w:cs="STIX MathJax Main"/>
                <w:sz w:val="18"/>
                <w:szCs w:val="20"/>
              </w:rPr>
            </w:pPr>
            <w:r w:rsidRPr="001D222B">
              <w:rPr>
                <w:rFonts w:ascii="STIX" w:eastAsia="Times New Roman" w:hAnsi="STIX" w:cs="STIX MathJax Main"/>
                <w:sz w:val="18"/>
                <w:szCs w:val="20"/>
              </w:rPr>
              <w:t>-6.18225</w:t>
            </w:r>
          </w:p>
        </w:tc>
      </w:tr>
      <w:tr w:rsidR="001D222B" w:rsidRPr="001D222B" w:rsidTr="00FF7247">
        <w:tblPrEx>
          <w:tblCellMar>
            <w:left w:w="0" w:type="dxa"/>
            <w:right w:w="0" w:type="dxa"/>
          </w:tblCellMar>
        </w:tblPrEx>
        <w:trPr>
          <w:trHeight w:val="144"/>
        </w:trPr>
        <w:tc>
          <w:tcPr>
            <w:tcW w:w="1062" w:type="dxa"/>
            <w:tcBorders>
              <w:top w:val="nil"/>
              <w:left w:val="nil"/>
              <w:bottom w:val="nil"/>
              <w:right w:val="nil"/>
            </w:tcBorders>
            <w:shd w:val="clear" w:color="auto" w:fill="auto"/>
            <w:noWrap/>
            <w:vAlign w:val="center"/>
          </w:tcPr>
          <w:p w:rsidR="001D222B" w:rsidRPr="001D222B" w:rsidRDefault="001D222B" w:rsidP="001D222B">
            <w:pPr>
              <w:spacing w:after="0" w:line="240" w:lineRule="auto"/>
              <w:jc w:val="center"/>
              <w:rPr>
                <w:rFonts w:ascii="STIX MathJax Main" w:eastAsia="Times New Roman" w:hAnsi="STIX MathJax Main" w:cs="STIX MathJax Main"/>
                <w:sz w:val="18"/>
                <w:szCs w:val="20"/>
              </w:rPr>
            </w:pPr>
            <w:r w:rsidRPr="001D222B">
              <w:rPr>
                <w:rFonts w:ascii="STIX" w:eastAsia="Times New Roman" w:hAnsi="STIX" w:cs="STIX MathJax Main"/>
                <w:sz w:val="18"/>
                <w:szCs w:val="20"/>
              </w:rPr>
              <w:t>0.5</w:t>
            </w:r>
          </w:p>
        </w:tc>
        <w:tc>
          <w:tcPr>
            <w:tcW w:w="1179" w:type="dxa"/>
            <w:tcBorders>
              <w:top w:val="nil"/>
              <w:left w:val="nil"/>
              <w:bottom w:val="nil"/>
              <w:right w:val="nil"/>
            </w:tcBorders>
            <w:shd w:val="clear" w:color="auto" w:fill="auto"/>
            <w:noWrap/>
            <w:vAlign w:val="center"/>
          </w:tcPr>
          <w:p w:rsidR="001D222B" w:rsidRPr="001D222B" w:rsidRDefault="001D222B" w:rsidP="001D222B">
            <w:pPr>
              <w:spacing w:after="0" w:line="240" w:lineRule="auto"/>
              <w:jc w:val="center"/>
              <w:rPr>
                <w:rFonts w:ascii="STIX MathJax Main" w:eastAsia="Times New Roman" w:hAnsi="STIX MathJax Main" w:cs="STIX MathJax Main"/>
                <w:sz w:val="18"/>
                <w:szCs w:val="20"/>
              </w:rPr>
            </w:pPr>
            <w:r w:rsidRPr="001D222B">
              <w:rPr>
                <w:rFonts w:ascii="STIX" w:eastAsia="Times New Roman" w:hAnsi="STIX" w:cs="STIX MathJax Main"/>
                <w:sz w:val="18"/>
                <w:szCs w:val="20"/>
              </w:rPr>
              <w:t>62.33349</w:t>
            </w:r>
          </w:p>
        </w:tc>
        <w:tc>
          <w:tcPr>
            <w:tcW w:w="1361" w:type="dxa"/>
            <w:tcBorders>
              <w:top w:val="nil"/>
              <w:left w:val="nil"/>
              <w:bottom w:val="nil"/>
              <w:right w:val="nil"/>
            </w:tcBorders>
            <w:shd w:val="clear" w:color="auto" w:fill="auto"/>
            <w:noWrap/>
            <w:vAlign w:val="center"/>
          </w:tcPr>
          <w:p w:rsidR="001D222B" w:rsidRPr="001D222B" w:rsidRDefault="001D222B" w:rsidP="001D222B">
            <w:pPr>
              <w:spacing w:after="0" w:line="240" w:lineRule="auto"/>
              <w:jc w:val="center"/>
              <w:rPr>
                <w:rFonts w:ascii="STIX MathJax Main" w:eastAsia="Times New Roman" w:hAnsi="STIX MathJax Main" w:cs="STIX MathJax Main"/>
                <w:sz w:val="18"/>
                <w:szCs w:val="20"/>
              </w:rPr>
            </w:pPr>
            <w:r w:rsidRPr="001D222B">
              <w:rPr>
                <w:rFonts w:ascii="STIX" w:eastAsia="Times New Roman" w:hAnsi="STIX" w:cs="STIX MathJax Main"/>
                <w:sz w:val="18"/>
                <w:szCs w:val="20"/>
              </w:rPr>
              <w:t>-6.08212</w:t>
            </w:r>
          </w:p>
        </w:tc>
      </w:tr>
      <w:tr w:rsidR="001D222B" w:rsidRPr="001D222B" w:rsidTr="00FF7247">
        <w:tblPrEx>
          <w:tblCellMar>
            <w:left w:w="0" w:type="dxa"/>
            <w:right w:w="0" w:type="dxa"/>
          </w:tblCellMar>
        </w:tblPrEx>
        <w:trPr>
          <w:trHeight w:val="144"/>
        </w:trPr>
        <w:tc>
          <w:tcPr>
            <w:tcW w:w="1062" w:type="dxa"/>
            <w:tcBorders>
              <w:top w:val="nil"/>
              <w:left w:val="nil"/>
              <w:bottom w:val="nil"/>
              <w:right w:val="nil"/>
            </w:tcBorders>
            <w:shd w:val="clear" w:color="auto" w:fill="auto"/>
            <w:noWrap/>
            <w:vAlign w:val="center"/>
          </w:tcPr>
          <w:p w:rsidR="001D222B" w:rsidRPr="001D222B" w:rsidRDefault="001D222B" w:rsidP="001D222B">
            <w:pPr>
              <w:spacing w:after="0" w:line="240" w:lineRule="auto"/>
              <w:jc w:val="center"/>
              <w:rPr>
                <w:rFonts w:ascii="STIX MathJax Main" w:eastAsia="Times New Roman" w:hAnsi="STIX MathJax Main" w:cs="STIX MathJax Main"/>
                <w:sz w:val="18"/>
                <w:szCs w:val="20"/>
              </w:rPr>
            </w:pPr>
            <w:r w:rsidRPr="001D222B">
              <w:rPr>
                <w:rFonts w:ascii="STIX" w:eastAsia="Times New Roman" w:hAnsi="STIX" w:cs="STIX MathJax Main"/>
                <w:sz w:val="18"/>
                <w:szCs w:val="20"/>
              </w:rPr>
              <w:t>0.75</w:t>
            </w:r>
          </w:p>
        </w:tc>
        <w:tc>
          <w:tcPr>
            <w:tcW w:w="1179" w:type="dxa"/>
            <w:tcBorders>
              <w:top w:val="nil"/>
              <w:left w:val="nil"/>
              <w:bottom w:val="nil"/>
              <w:right w:val="nil"/>
            </w:tcBorders>
            <w:shd w:val="clear" w:color="auto" w:fill="auto"/>
            <w:noWrap/>
            <w:vAlign w:val="center"/>
          </w:tcPr>
          <w:p w:rsidR="001D222B" w:rsidRPr="001D222B" w:rsidRDefault="001D222B" w:rsidP="001D222B">
            <w:pPr>
              <w:spacing w:after="0" w:line="240" w:lineRule="auto"/>
              <w:jc w:val="center"/>
              <w:rPr>
                <w:rFonts w:ascii="STIX MathJax Main" w:eastAsia="Times New Roman" w:hAnsi="STIX MathJax Main" w:cs="STIX MathJax Main"/>
                <w:sz w:val="18"/>
                <w:szCs w:val="20"/>
              </w:rPr>
            </w:pPr>
            <w:r w:rsidRPr="001D222B">
              <w:rPr>
                <w:rFonts w:ascii="STIX" w:eastAsia="Times New Roman" w:hAnsi="STIX" w:cs="STIX MathJax Main"/>
                <w:sz w:val="18"/>
                <w:szCs w:val="20"/>
              </w:rPr>
              <w:t>60.81296</w:t>
            </w:r>
          </w:p>
        </w:tc>
        <w:tc>
          <w:tcPr>
            <w:tcW w:w="1361" w:type="dxa"/>
            <w:tcBorders>
              <w:top w:val="nil"/>
              <w:left w:val="nil"/>
              <w:bottom w:val="nil"/>
              <w:right w:val="nil"/>
            </w:tcBorders>
            <w:shd w:val="clear" w:color="auto" w:fill="auto"/>
            <w:noWrap/>
            <w:vAlign w:val="center"/>
          </w:tcPr>
          <w:p w:rsidR="001D222B" w:rsidRPr="001D222B" w:rsidRDefault="001D222B" w:rsidP="001D222B">
            <w:pPr>
              <w:spacing w:after="0" w:line="240" w:lineRule="auto"/>
              <w:jc w:val="center"/>
              <w:rPr>
                <w:rFonts w:ascii="STIX MathJax Main" w:eastAsia="Times New Roman" w:hAnsi="STIX MathJax Main" w:cs="STIX MathJax Main"/>
                <w:sz w:val="18"/>
                <w:szCs w:val="20"/>
              </w:rPr>
            </w:pPr>
            <w:r w:rsidRPr="001D222B">
              <w:rPr>
                <w:rFonts w:ascii="STIX" w:eastAsia="Times New Roman" w:hAnsi="STIX" w:cs="STIX MathJax Main"/>
                <w:sz w:val="18"/>
                <w:szCs w:val="20"/>
              </w:rPr>
              <w:t>-5.98281</w:t>
            </w:r>
          </w:p>
        </w:tc>
      </w:tr>
      <w:tr w:rsidR="001D222B" w:rsidRPr="001D222B" w:rsidTr="00FF7247">
        <w:tblPrEx>
          <w:tblCellMar>
            <w:left w:w="0" w:type="dxa"/>
            <w:right w:w="0" w:type="dxa"/>
          </w:tblCellMar>
        </w:tblPrEx>
        <w:trPr>
          <w:trHeight w:val="144"/>
        </w:trPr>
        <w:tc>
          <w:tcPr>
            <w:tcW w:w="1062" w:type="dxa"/>
            <w:tcBorders>
              <w:top w:val="nil"/>
              <w:left w:val="nil"/>
              <w:bottom w:val="nil"/>
              <w:right w:val="nil"/>
            </w:tcBorders>
            <w:shd w:val="clear" w:color="auto" w:fill="auto"/>
            <w:noWrap/>
            <w:vAlign w:val="center"/>
          </w:tcPr>
          <w:p w:rsidR="001D222B" w:rsidRPr="001D222B" w:rsidRDefault="001D222B" w:rsidP="001D222B">
            <w:pPr>
              <w:spacing w:after="0" w:line="240" w:lineRule="auto"/>
              <w:jc w:val="center"/>
              <w:rPr>
                <w:rFonts w:ascii="STIX MathJax Main" w:eastAsia="Times New Roman" w:hAnsi="STIX MathJax Main" w:cs="STIX MathJax Main"/>
                <w:sz w:val="18"/>
                <w:szCs w:val="20"/>
              </w:rPr>
            </w:pPr>
            <w:r w:rsidRPr="001D222B">
              <w:rPr>
                <w:rFonts w:ascii="STIX" w:eastAsia="Times New Roman" w:hAnsi="STIX" w:cs="STIX MathJax Main"/>
                <w:sz w:val="18"/>
                <w:szCs w:val="20"/>
              </w:rPr>
              <w:t>1</w:t>
            </w:r>
          </w:p>
        </w:tc>
        <w:tc>
          <w:tcPr>
            <w:tcW w:w="1179" w:type="dxa"/>
            <w:tcBorders>
              <w:top w:val="nil"/>
              <w:left w:val="nil"/>
              <w:bottom w:val="nil"/>
              <w:right w:val="nil"/>
            </w:tcBorders>
            <w:shd w:val="clear" w:color="auto" w:fill="auto"/>
            <w:noWrap/>
            <w:vAlign w:val="center"/>
          </w:tcPr>
          <w:p w:rsidR="001D222B" w:rsidRPr="001D222B" w:rsidRDefault="001D222B" w:rsidP="001D222B">
            <w:pPr>
              <w:spacing w:after="0" w:line="240" w:lineRule="auto"/>
              <w:jc w:val="center"/>
              <w:rPr>
                <w:rFonts w:ascii="STIX MathJax Main" w:eastAsia="Times New Roman" w:hAnsi="STIX MathJax Main" w:cs="STIX MathJax Main"/>
                <w:sz w:val="18"/>
                <w:szCs w:val="20"/>
              </w:rPr>
            </w:pPr>
            <w:r w:rsidRPr="001D222B">
              <w:rPr>
                <w:rFonts w:ascii="STIX" w:eastAsia="Times New Roman" w:hAnsi="STIX" w:cs="STIX MathJax Main"/>
                <w:sz w:val="18"/>
                <w:szCs w:val="20"/>
              </w:rPr>
              <w:t>59.31726</w:t>
            </w:r>
          </w:p>
        </w:tc>
        <w:tc>
          <w:tcPr>
            <w:tcW w:w="1361" w:type="dxa"/>
            <w:tcBorders>
              <w:top w:val="nil"/>
              <w:left w:val="nil"/>
              <w:bottom w:val="nil"/>
              <w:right w:val="nil"/>
            </w:tcBorders>
            <w:shd w:val="clear" w:color="auto" w:fill="auto"/>
            <w:noWrap/>
            <w:vAlign w:val="center"/>
          </w:tcPr>
          <w:p w:rsidR="001D222B" w:rsidRPr="001D222B" w:rsidRDefault="001D222B" w:rsidP="001D222B">
            <w:pPr>
              <w:spacing w:after="0" w:line="240" w:lineRule="auto"/>
              <w:jc w:val="center"/>
              <w:rPr>
                <w:rFonts w:ascii="STIX MathJax Main" w:eastAsia="Times New Roman" w:hAnsi="STIX MathJax Main" w:cs="STIX MathJax Main"/>
                <w:sz w:val="18"/>
                <w:szCs w:val="20"/>
              </w:rPr>
            </w:pPr>
            <w:r w:rsidRPr="001D222B">
              <w:rPr>
                <w:rFonts w:ascii="STIX" w:eastAsia="Times New Roman" w:hAnsi="STIX" w:cs="STIX MathJax Main"/>
                <w:sz w:val="18"/>
                <w:szCs w:val="20"/>
              </w:rPr>
              <w:t>-5.8843</w:t>
            </w:r>
          </w:p>
        </w:tc>
      </w:tr>
      <w:tr w:rsidR="001D222B" w:rsidRPr="001D222B" w:rsidTr="00FF7247">
        <w:trPr>
          <w:trHeight w:val="144"/>
        </w:trPr>
        <w:tc>
          <w:tcPr>
            <w:tcW w:w="1062" w:type="dxa"/>
            <w:tcBorders>
              <w:top w:val="nil"/>
              <w:left w:val="nil"/>
              <w:bottom w:val="nil"/>
              <w:right w:val="nil"/>
            </w:tcBorders>
            <w:shd w:val="clear" w:color="auto" w:fill="auto"/>
            <w:noWrap/>
            <w:vAlign w:val="center"/>
          </w:tcPr>
          <w:p w:rsidR="001D222B" w:rsidRPr="001D222B" w:rsidRDefault="001D222B" w:rsidP="001D222B">
            <w:pPr>
              <w:spacing w:after="0" w:line="240" w:lineRule="auto"/>
              <w:jc w:val="right"/>
              <w:rPr>
                <w:rFonts w:ascii="STIX" w:eastAsia="Times New Roman" w:hAnsi="STIX" w:cs="STIX MathJax Main"/>
                <w:sz w:val="18"/>
              </w:rPr>
            </w:pPr>
            <w:r w:rsidRPr="001D222B">
              <w:rPr>
                <w:rFonts w:ascii="Courier New" w:eastAsia="Times New Roman" w:hAnsi="Courier New" w:cs="Courier New"/>
                <w:sz w:val="18"/>
              </w:rPr>
              <w:t>•</w:t>
            </w:r>
          </w:p>
          <w:p w:rsidR="001D222B" w:rsidRPr="001D222B" w:rsidRDefault="001D222B" w:rsidP="001D222B">
            <w:pPr>
              <w:spacing w:after="0" w:line="240" w:lineRule="auto"/>
              <w:jc w:val="right"/>
              <w:rPr>
                <w:rFonts w:ascii="STIX" w:eastAsia="Times New Roman" w:hAnsi="STIX" w:cs="STIX MathJax Main"/>
                <w:sz w:val="18"/>
              </w:rPr>
            </w:pPr>
            <w:r w:rsidRPr="001D222B">
              <w:rPr>
                <w:rFonts w:ascii="Courier New" w:eastAsia="Times New Roman" w:hAnsi="Courier New" w:cs="Courier New"/>
                <w:sz w:val="18"/>
              </w:rPr>
              <w:t>•</w:t>
            </w:r>
          </w:p>
          <w:p w:rsidR="001D222B" w:rsidRPr="001D222B" w:rsidRDefault="001D222B" w:rsidP="001D222B">
            <w:pPr>
              <w:spacing w:after="0" w:line="240" w:lineRule="auto"/>
              <w:jc w:val="right"/>
              <w:rPr>
                <w:rFonts w:ascii="STIX MathJax Main" w:eastAsia="Times New Roman" w:hAnsi="STIX MathJax Main" w:cs="STIX MathJax Main"/>
                <w:sz w:val="18"/>
                <w:szCs w:val="20"/>
              </w:rPr>
            </w:pPr>
            <w:r w:rsidRPr="001D222B">
              <w:rPr>
                <w:rFonts w:ascii="Courier New" w:eastAsia="Times New Roman" w:hAnsi="Courier New" w:cs="Courier New"/>
                <w:sz w:val="18"/>
              </w:rPr>
              <w:t>•</w:t>
            </w:r>
          </w:p>
        </w:tc>
        <w:tc>
          <w:tcPr>
            <w:tcW w:w="1179" w:type="dxa"/>
            <w:tcBorders>
              <w:top w:val="nil"/>
              <w:left w:val="nil"/>
              <w:bottom w:val="nil"/>
              <w:right w:val="nil"/>
            </w:tcBorders>
            <w:shd w:val="clear" w:color="auto" w:fill="auto"/>
            <w:noWrap/>
            <w:vAlign w:val="center"/>
          </w:tcPr>
          <w:p w:rsidR="001D222B" w:rsidRPr="001D222B" w:rsidRDefault="001D222B" w:rsidP="001D222B">
            <w:pPr>
              <w:spacing w:after="0" w:line="240" w:lineRule="auto"/>
              <w:jc w:val="right"/>
              <w:rPr>
                <w:rFonts w:ascii="STIX MathJax Main" w:eastAsia="Times New Roman" w:hAnsi="STIX MathJax Main" w:cs="STIX MathJax Main"/>
                <w:sz w:val="18"/>
                <w:szCs w:val="20"/>
              </w:rPr>
            </w:pPr>
          </w:p>
        </w:tc>
        <w:tc>
          <w:tcPr>
            <w:tcW w:w="1361" w:type="dxa"/>
            <w:tcBorders>
              <w:top w:val="nil"/>
              <w:left w:val="nil"/>
              <w:bottom w:val="nil"/>
              <w:right w:val="nil"/>
            </w:tcBorders>
            <w:shd w:val="clear" w:color="auto" w:fill="auto"/>
            <w:noWrap/>
            <w:vAlign w:val="center"/>
          </w:tcPr>
          <w:p w:rsidR="001D222B" w:rsidRPr="001D222B" w:rsidRDefault="001D222B" w:rsidP="001D222B">
            <w:pPr>
              <w:spacing w:after="0" w:line="240" w:lineRule="auto"/>
              <w:jc w:val="right"/>
              <w:rPr>
                <w:rFonts w:ascii="STIX MathJax Main" w:eastAsia="Times New Roman" w:hAnsi="STIX MathJax Main" w:cs="STIX MathJax Main"/>
                <w:sz w:val="18"/>
                <w:szCs w:val="20"/>
              </w:rPr>
            </w:pPr>
          </w:p>
        </w:tc>
      </w:tr>
      <w:tr w:rsidR="001D222B" w:rsidRPr="001D222B" w:rsidTr="00FF7247">
        <w:tblPrEx>
          <w:tblCellMar>
            <w:left w:w="0" w:type="dxa"/>
            <w:right w:w="0" w:type="dxa"/>
          </w:tblCellMar>
        </w:tblPrEx>
        <w:trPr>
          <w:trHeight w:val="144"/>
        </w:trPr>
        <w:tc>
          <w:tcPr>
            <w:tcW w:w="1062" w:type="dxa"/>
            <w:tcBorders>
              <w:top w:val="nil"/>
              <w:left w:val="nil"/>
              <w:bottom w:val="nil"/>
              <w:right w:val="nil"/>
            </w:tcBorders>
            <w:shd w:val="clear" w:color="auto" w:fill="auto"/>
            <w:noWrap/>
            <w:vAlign w:val="center"/>
          </w:tcPr>
          <w:p w:rsidR="001D222B" w:rsidRPr="001D222B" w:rsidRDefault="001D222B" w:rsidP="001D222B">
            <w:pPr>
              <w:spacing w:after="0" w:line="240" w:lineRule="auto"/>
              <w:jc w:val="center"/>
              <w:rPr>
                <w:rFonts w:ascii="STIX MathJax Main" w:eastAsia="Times New Roman" w:hAnsi="STIX MathJax Main" w:cs="STIX MathJax Main"/>
                <w:sz w:val="18"/>
                <w:szCs w:val="20"/>
              </w:rPr>
            </w:pPr>
            <w:r w:rsidRPr="001D222B">
              <w:rPr>
                <w:rFonts w:ascii="STIX" w:eastAsia="Times New Roman" w:hAnsi="STIX" w:cs="STIX MathJax Main"/>
                <w:sz w:val="18"/>
                <w:szCs w:val="20"/>
              </w:rPr>
              <w:t>9</w:t>
            </w:r>
          </w:p>
        </w:tc>
        <w:tc>
          <w:tcPr>
            <w:tcW w:w="1179" w:type="dxa"/>
            <w:tcBorders>
              <w:top w:val="nil"/>
              <w:left w:val="nil"/>
              <w:bottom w:val="nil"/>
              <w:right w:val="nil"/>
            </w:tcBorders>
            <w:shd w:val="clear" w:color="auto" w:fill="auto"/>
            <w:noWrap/>
            <w:vAlign w:val="center"/>
          </w:tcPr>
          <w:p w:rsidR="001D222B" w:rsidRPr="001D222B" w:rsidRDefault="001D222B" w:rsidP="001D222B">
            <w:pPr>
              <w:spacing w:after="0" w:line="240" w:lineRule="auto"/>
              <w:jc w:val="center"/>
              <w:rPr>
                <w:rFonts w:ascii="STIX MathJax Main" w:eastAsia="Times New Roman" w:hAnsi="STIX MathJax Main" w:cs="STIX MathJax Main"/>
                <w:sz w:val="18"/>
                <w:szCs w:val="20"/>
              </w:rPr>
            </w:pPr>
            <w:r w:rsidRPr="001D222B">
              <w:rPr>
                <w:rFonts w:ascii="STIX" w:eastAsia="Times New Roman" w:hAnsi="STIX" w:cs="STIX MathJax Main"/>
                <w:sz w:val="18"/>
                <w:szCs w:val="20"/>
              </w:rPr>
              <w:t>23.35079</w:t>
            </w:r>
          </w:p>
        </w:tc>
        <w:tc>
          <w:tcPr>
            <w:tcW w:w="1361" w:type="dxa"/>
            <w:tcBorders>
              <w:top w:val="nil"/>
              <w:left w:val="nil"/>
              <w:bottom w:val="nil"/>
              <w:right w:val="nil"/>
            </w:tcBorders>
            <w:shd w:val="clear" w:color="auto" w:fill="auto"/>
            <w:noWrap/>
            <w:vAlign w:val="center"/>
          </w:tcPr>
          <w:p w:rsidR="001D222B" w:rsidRPr="001D222B" w:rsidRDefault="001D222B" w:rsidP="001D222B">
            <w:pPr>
              <w:spacing w:after="0" w:line="240" w:lineRule="auto"/>
              <w:jc w:val="center"/>
              <w:rPr>
                <w:rFonts w:ascii="STIX MathJax Main" w:eastAsia="Times New Roman" w:hAnsi="STIX MathJax Main" w:cs="STIX MathJax Main"/>
                <w:sz w:val="18"/>
                <w:szCs w:val="20"/>
              </w:rPr>
            </w:pPr>
            <w:r w:rsidRPr="001D222B">
              <w:rPr>
                <w:rFonts w:ascii="STIX" w:eastAsia="Times New Roman" w:hAnsi="STIX" w:cs="STIX MathJax Main"/>
                <w:sz w:val="18"/>
                <w:szCs w:val="20"/>
              </w:rPr>
              <w:t>-3.16064</w:t>
            </w:r>
          </w:p>
        </w:tc>
      </w:tr>
      <w:tr w:rsidR="001D222B" w:rsidRPr="001D222B" w:rsidTr="00FF7247">
        <w:tblPrEx>
          <w:tblCellMar>
            <w:left w:w="0" w:type="dxa"/>
            <w:right w:w="0" w:type="dxa"/>
          </w:tblCellMar>
        </w:tblPrEx>
        <w:trPr>
          <w:trHeight w:val="144"/>
        </w:trPr>
        <w:tc>
          <w:tcPr>
            <w:tcW w:w="1062" w:type="dxa"/>
            <w:tcBorders>
              <w:top w:val="nil"/>
              <w:left w:val="nil"/>
              <w:bottom w:val="nil"/>
              <w:right w:val="nil"/>
            </w:tcBorders>
            <w:shd w:val="clear" w:color="auto" w:fill="auto"/>
            <w:noWrap/>
            <w:vAlign w:val="center"/>
          </w:tcPr>
          <w:p w:rsidR="001D222B" w:rsidRPr="001D222B" w:rsidRDefault="001D222B" w:rsidP="001D222B">
            <w:pPr>
              <w:spacing w:after="0" w:line="240" w:lineRule="auto"/>
              <w:jc w:val="center"/>
              <w:rPr>
                <w:rFonts w:ascii="STIX MathJax Main" w:eastAsia="Times New Roman" w:hAnsi="STIX MathJax Main" w:cs="STIX MathJax Main"/>
                <w:sz w:val="18"/>
                <w:szCs w:val="20"/>
              </w:rPr>
            </w:pPr>
            <w:r w:rsidRPr="001D222B">
              <w:rPr>
                <w:rFonts w:ascii="STIX" w:eastAsia="Times New Roman" w:hAnsi="STIX" w:cs="STIX MathJax Main"/>
                <w:sz w:val="18"/>
                <w:szCs w:val="20"/>
              </w:rPr>
              <w:t>9.25</w:t>
            </w:r>
          </w:p>
        </w:tc>
        <w:tc>
          <w:tcPr>
            <w:tcW w:w="1179" w:type="dxa"/>
            <w:tcBorders>
              <w:top w:val="nil"/>
              <w:left w:val="nil"/>
              <w:bottom w:val="nil"/>
              <w:right w:val="nil"/>
            </w:tcBorders>
            <w:shd w:val="clear" w:color="auto" w:fill="auto"/>
            <w:noWrap/>
            <w:vAlign w:val="center"/>
          </w:tcPr>
          <w:p w:rsidR="001D222B" w:rsidRPr="001D222B" w:rsidRDefault="001D222B" w:rsidP="001D222B">
            <w:pPr>
              <w:spacing w:after="0" w:line="240" w:lineRule="auto"/>
              <w:jc w:val="center"/>
              <w:rPr>
                <w:rFonts w:ascii="STIX MathJax Main" w:eastAsia="Times New Roman" w:hAnsi="STIX MathJax Main" w:cs="STIX MathJax Main"/>
                <w:sz w:val="18"/>
                <w:szCs w:val="20"/>
              </w:rPr>
            </w:pPr>
            <w:r w:rsidRPr="001D222B">
              <w:rPr>
                <w:rFonts w:ascii="STIX" w:eastAsia="Times New Roman" w:hAnsi="STIX" w:cs="STIX MathJax Main"/>
                <w:sz w:val="18"/>
                <w:szCs w:val="20"/>
              </w:rPr>
              <w:t>22.56063</w:t>
            </w:r>
          </w:p>
        </w:tc>
        <w:tc>
          <w:tcPr>
            <w:tcW w:w="1361" w:type="dxa"/>
            <w:tcBorders>
              <w:top w:val="nil"/>
              <w:left w:val="nil"/>
              <w:bottom w:val="nil"/>
              <w:right w:val="nil"/>
            </w:tcBorders>
            <w:shd w:val="clear" w:color="auto" w:fill="auto"/>
            <w:noWrap/>
            <w:vAlign w:val="center"/>
          </w:tcPr>
          <w:p w:rsidR="001D222B" w:rsidRPr="001D222B" w:rsidRDefault="001D222B" w:rsidP="001D222B">
            <w:pPr>
              <w:spacing w:after="0" w:line="240" w:lineRule="auto"/>
              <w:jc w:val="center"/>
              <w:rPr>
                <w:rFonts w:ascii="STIX MathJax Main" w:eastAsia="Times New Roman" w:hAnsi="STIX MathJax Main" w:cs="STIX MathJax Main"/>
                <w:sz w:val="18"/>
                <w:szCs w:val="20"/>
              </w:rPr>
            </w:pPr>
            <w:r w:rsidRPr="001D222B">
              <w:rPr>
                <w:rFonts w:ascii="STIX" w:eastAsia="Times New Roman" w:hAnsi="STIX" w:cs="STIX MathJax Main"/>
                <w:sz w:val="18"/>
                <w:szCs w:val="20"/>
              </w:rPr>
              <w:t>-3.08893</w:t>
            </w:r>
          </w:p>
        </w:tc>
      </w:tr>
      <w:tr w:rsidR="001D222B" w:rsidRPr="001D222B" w:rsidTr="00FF7247">
        <w:tblPrEx>
          <w:tblCellMar>
            <w:left w:w="0" w:type="dxa"/>
            <w:right w:w="0" w:type="dxa"/>
          </w:tblCellMar>
        </w:tblPrEx>
        <w:trPr>
          <w:trHeight w:val="144"/>
        </w:trPr>
        <w:tc>
          <w:tcPr>
            <w:tcW w:w="1062" w:type="dxa"/>
            <w:tcBorders>
              <w:top w:val="nil"/>
              <w:left w:val="nil"/>
              <w:bottom w:val="nil"/>
              <w:right w:val="nil"/>
            </w:tcBorders>
            <w:shd w:val="clear" w:color="auto" w:fill="auto"/>
            <w:noWrap/>
            <w:vAlign w:val="center"/>
          </w:tcPr>
          <w:p w:rsidR="001D222B" w:rsidRPr="001D222B" w:rsidRDefault="001D222B" w:rsidP="001D222B">
            <w:pPr>
              <w:spacing w:after="0" w:line="240" w:lineRule="auto"/>
              <w:jc w:val="center"/>
              <w:rPr>
                <w:rFonts w:ascii="STIX MathJax Main" w:eastAsia="Times New Roman" w:hAnsi="STIX MathJax Main" w:cs="STIX MathJax Main"/>
                <w:sz w:val="18"/>
                <w:szCs w:val="20"/>
              </w:rPr>
            </w:pPr>
            <w:r w:rsidRPr="001D222B">
              <w:rPr>
                <w:rFonts w:ascii="STIX" w:eastAsia="Times New Roman" w:hAnsi="STIX" w:cs="STIX MathJax Main"/>
                <w:sz w:val="18"/>
                <w:szCs w:val="20"/>
              </w:rPr>
              <w:t>9.5</w:t>
            </w:r>
          </w:p>
        </w:tc>
        <w:tc>
          <w:tcPr>
            <w:tcW w:w="1179" w:type="dxa"/>
            <w:tcBorders>
              <w:top w:val="nil"/>
              <w:left w:val="nil"/>
              <w:bottom w:val="nil"/>
              <w:right w:val="nil"/>
            </w:tcBorders>
            <w:shd w:val="clear" w:color="auto" w:fill="auto"/>
            <w:noWrap/>
            <w:vAlign w:val="center"/>
          </w:tcPr>
          <w:p w:rsidR="001D222B" w:rsidRPr="001D222B" w:rsidRDefault="001D222B" w:rsidP="001D222B">
            <w:pPr>
              <w:spacing w:after="0" w:line="240" w:lineRule="auto"/>
              <w:jc w:val="center"/>
              <w:rPr>
                <w:rFonts w:ascii="STIX MathJax Main" w:eastAsia="Times New Roman" w:hAnsi="STIX MathJax Main" w:cs="STIX MathJax Main"/>
                <w:sz w:val="18"/>
                <w:szCs w:val="20"/>
              </w:rPr>
            </w:pPr>
            <w:r w:rsidRPr="001D222B">
              <w:rPr>
                <w:rFonts w:ascii="STIX" w:eastAsia="Times New Roman" w:hAnsi="STIX" w:cs="STIX MathJax Main"/>
                <w:sz w:val="18"/>
                <w:szCs w:val="20"/>
              </w:rPr>
              <w:t>21.7884</w:t>
            </w:r>
          </w:p>
        </w:tc>
        <w:tc>
          <w:tcPr>
            <w:tcW w:w="1361" w:type="dxa"/>
            <w:tcBorders>
              <w:top w:val="nil"/>
              <w:left w:val="nil"/>
              <w:bottom w:val="nil"/>
              <w:right w:val="nil"/>
            </w:tcBorders>
            <w:shd w:val="clear" w:color="auto" w:fill="auto"/>
            <w:noWrap/>
            <w:vAlign w:val="center"/>
          </w:tcPr>
          <w:p w:rsidR="001D222B" w:rsidRPr="001D222B" w:rsidRDefault="001D222B" w:rsidP="001D222B">
            <w:pPr>
              <w:spacing w:after="0" w:line="240" w:lineRule="auto"/>
              <w:jc w:val="center"/>
              <w:rPr>
                <w:rFonts w:ascii="STIX MathJax Main" w:eastAsia="Times New Roman" w:hAnsi="STIX MathJax Main" w:cs="STIX MathJax Main"/>
                <w:sz w:val="18"/>
                <w:szCs w:val="20"/>
              </w:rPr>
            </w:pPr>
            <w:r w:rsidRPr="001D222B">
              <w:rPr>
                <w:rFonts w:ascii="STIX" w:eastAsia="Times New Roman" w:hAnsi="STIX" w:cs="STIX MathJax Main"/>
                <w:sz w:val="18"/>
                <w:szCs w:val="20"/>
              </w:rPr>
              <w:t>-3.01804</w:t>
            </w:r>
          </w:p>
        </w:tc>
      </w:tr>
      <w:tr w:rsidR="001D222B" w:rsidRPr="001D222B" w:rsidTr="00FF7247">
        <w:tblPrEx>
          <w:tblCellMar>
            <w:left w:w="0" w:type="dxa"/>
            <w:right w:w="0" w:type="dxa"/>
          </w:tblCellMar>
        </w:tblPrEx>
        <w:trPr>
          <w:trHeight w:val="144"/>
        </w:trPr>
        <w:tc>
          <w:tcPr>
            <w:tcW w:w="1062" w:type="dxa"/>
            <w:tcBorders>
              <w:top w:val="nil"/>
              <w:left w:val="nil"/>
              <w:right w:val="nil"/>
            </w:tcBorders>
            <w:shd w:val="clear" w:color="auto" w:fill="auto"/>
            <w:noWrap/>
            <w:vAlign w:val="center"/>
          </w:tcPr>
          <w:p w:rsidR="001D222B" w:rsidRPr="001D222B" w:rsidRDefault="001D222B" w:rsidP="001D222B">
            <w:pPr>
              <w:spacing w:after="0" w:line="240" w:lineRule="auto"/>
              <w:jc w:val="center"/>
              <w:rPr>
                <w:rFonts w:ascii="STIX MathJax Main" w:eastAsia="Times New Roman" w:hAnsi="STIX MathJax Main" w:cs="STIX MathJax Main"/>
                <w:sz w:val="18"/>
                <w:szCs w:val="20"/>
              </w:rPr>
            </w:pPr>
            <w:r w:rsidRPr="001D222B">
              <w:rPr>
                <w:rFonts w:ascii="STIX" w:eastAsia="Times New Roman" w:hAnsi="STIX" w:cs="STIX MathJax Main"/>
                <w:sz w:val="18"/>
                <w:szCs w:val="20"/>
              </w:rPr>
              <w:t>9.75</w:t>
            </w:r>
          </w:p>
        </w:tc>
        <w:tc>
          <w:tcPr>
            <w:tcW w:w="1179" w:type="dxa"/>
            <w:tcBorders>
              <w:top w:val="nil"/>
              <w:left w:val="nil"/>
              <w:right w:val="nil"/>
            </w:tcBorders>
            <w:shd w:val="clear" w:color="auto" w:fill="auto"/>
            <w:noWrap/>
            <w:vAlign w:val="center"/>
          </w:tcPr>
          <w:p w:rsidR="001D222B" w:rsidRPr="001D222B" w:rsidRDefault="001D222B" w:rsidP="001D222B">
            <w:pPr>
              <w:spacing w:after="0" w:line="240" w:lineRule="auto"/>
              <w:jc w:val="center"/>
              <w:rPr>
                <w:rFonts w:ascii="STIX MathJax Main" w:eastAsia="Times New Roman" w:hAnsi="STIX MathJax Main" w:cs="STIX MathJax Main"/>
                <w:sz w:val="18"/>
                <w:szCs w:val="20"/>
              </w:rPr>
            </w:pPr>
            <w:r w:rsidRPr="001D222B">
              <w:rPr>
                <w:rFonts w:ascii="STIX" w:eastAsia="Times New Roman" w:hAnsi="STIX" w:cs="STIX MathJax Main"/>
                <w:sz w:val="18"/>
                <w:szCs w:val="20"/>
              </w:rPr>
              <w:t>21.03389</w:t>
            </w:r>
          </w:p>
        </w:tc>
        <w:tc>
          <w:tcPr>
            <w:tcW w:w="1361" w:type="dxa"/>
            <w:tcBorders>
              <w:top w:val="nil"/>
              <w:left w:val="nil"/>
              <w:right w:val="nil"/>
            </w:tcBorders>
            <w:shd w:val="clear" w:color="auto" w:fill="auto"/>
            <w:noWrap/>
            <w:vAlign w:val="center"/>
          </w:tcPr>
          <w:p w:rsidR="001D222B" w:rsidRPr="001D222B" w:rsidRDefault="001D222B" w:rsidP="001D222B">
            <w:pPr>
              <w:spacing w:after="0" w:line="240" w:lineRule="auto"/>
              <w:jc w:val="center"/>
              <w:rPr>
                <w:rFonts w:ascii="STIX MathJax Main" w:eastAsia="Times New Roman" w:hAnsi="STIX MathJax Main" w:cs="STIX MathJax Main"/>
                <w:sz w:val="18"/>
                <w:szCs w:val="20"/>
              </w:rPr>
            </w:pPr>
            <w:r w:rsidRPr="001D222B">
              <w:rPr>
                <w:rFonts w:ascii="STIX" w:eastAsia="Times New Roman" w:hAnsi="STIX" w:cs="STIX MathJax Main"/>
                <w:sz w:val="18"/>
                <w:szCs w:val="20"/>
              </w:rPr>
              <w:t>-2.94795</w:t>
            </w:r>
          </w:p>
        </w:tc>
      </w:tr>
      <w:tr w:rsidR="001D222B" w:rsidRPr="001D222B" w:rsidTr="00FF7247">
        <w:tblPrEx>
          <w:tblCellMar>
            <w:left w:w="0" w:type="dxa"/>
            <w:right w:w="0" w:type="dxa"/>
          </w:tblCellMar>
        </w:tblPrEx>
        <w:trPr>
          <w:trHeight w:val="144"/>
        </w:trPr>
        <w:tc>
          <w:tcPr>
            <w:tcW w:w="1062" w:type="dxa"/>
            <w:tcBorders>
              <w:top w:val="nil"/>
              <w:left w:val="nil"/>
              <w:bottom w:val="single" w:sz="12" w:space="0" w:color="auto"/>
              <w:right w:val="nil"/>
            </w:tcBorders>
            <w:shd w:val="clear" w:color="auto" w:fill="auto"/>
            <w:noWrap/>
            <w:vAlign w:val="center"/>
          </w:tcPr>
          <w:p w:rsidR="001D222B" w:rsidRPr="001D222B" w:rsidRDefault="001D222B" w:rsidP="001D222B">
            <w:pPr>
              <w:spacing w:after="0" w:line="240" w:lineRule="auto"/>
              <w:jc w:val="center"/>
              <w:rPr>
                <w:rFonts w:ascii="STIX MathJax Main" w:eastAsia="Times New Roman" w:hAnsi="STIX MathJax Main" w:cs="STIX MathJax Main"/>
                <w:sz w:val="18"/>
                <w:szCs w:val="20"/>
              </w:rPr>
            </w:pPr>
            <w:r w:rsidRPr="001D222B">
              <w:rPr>
                <w:rFonts w:ascii="STIX" w:eastAsia="Times New Roman" w:hAnsi="STIX" w:cs="STIX MathJax Main"/>
                <w:sz w:val="18"/>
                <w:szCs w:val="20"/>
              </w:rPr>
              <w:t>10</w:t>
            </w:r>
          </w:p>
        </w:tc>
        <w:tc>
          <w:tcPr>
            <w:tcW w:w="1179" w:type="dxa"/>
            <w:tcBorders>
              <w:top w:val="nil"/>
              <w:left w:val="nil"/>
              <w:bottom w:val="single" w:sz="12" w:space="0" w:color="auto"/>
              <w:right w:val="nil"/>
            </w:tcBorders>
            <w:shd w:val="clear" w:color="auto" w:fill="auto"/>
            <w:noWrap/>
            <w:vAlign w:val="center"/>
          </w:tcPr>
          <w:p w:rsidR="001D222B" w:rsidRPr="001D222B" w:rsidRDefault="001D222B" w:rsidP="001D222B">
            <w:pPr>
              <w:spacing w:after="0" w:line="240" w:lineRule="auto"/>
              <w:jc w:val="center"/>
              <w:rPr>
                <w:rFonts w:ascii="STIX MathJax Main" w:eastAsia="Times New Roman" w:hAnsi="STIX MathJax Main" w:cs="STIX MathJax Main"/>
                <w:sz w:val="18"/>
                <w:szCs w:val="20"/>
              </w:rPr>
            </w:pPr>
            <w:r w:rsidRPr="001D222B">
              <w:rPr>
                <w:rFonts w:ascii="STIX" w:eastAsia="Times New Roman" w:hAnsi="STIX" w:cs="STIX MathJax Main"/>
                <w:sz w:val="18"/>
                <w:szCs w:val="20"/>
              </w:rPr>
              <w:t>20.2969</w:t>
            </w:r>
          </w:p>
        </w:tc>
        <w:tc>
          <w:tcPr>
            <w:tcW w:w="1361" w:type="dxa"/>
            <w:tcBorders>
              <w:top w:val="nil"/>
              <w:left w:val="nil"/>
              <w:bottom w:val="single" w:sz="12" w:space="0" w:color="auto"/>
              <w:right w:val="nil"/>
            </w:tcBorders>
            <w:shd w:val="clear" w:color="auto" w:fill="auto"/>
            <w:noWrap/>
            <w:vAlign w:val="center"/>
          </w:tcPr>
          <w:p w:rsidR="001D222B" w:rsidRPr="001D222B" w:rsidRDefault="001D222B" w:rsidP="001D222B">
            <w:pPr>
              <w:spacing w:after="0" w:line="240" w:lineRule="auto"/>
              <w:jc w:val="center"/>
              <w:rPr>
                <w:rFonts w:ascii="STIX MathJax Main" w:eastAsia="Times New Roman" w:hAnsi="STIX MathJax Main" w:cs="STIX MathJax Main"/>
                <w:sz w:val="18"/>
                <w:szCs w:val="20"/>
              </w:rPr>
            </w:pPr>
            <w:r w:rsidRPr="001D222B">
              <w:rPr>
                <w:rFonts w:ascii="STIX" w:eastAsia="Times New Roman" w:hAnsi="STIX" w:cs="STIX MathJax Main"/>
                <w:sz w:val="18"/>
                <w:szCs w:val="20"/>
              </w:rPr>
              <w:t>-2.87868</w:t>
            </w:r>
          </w:p>
        </w:tc>
      </w:tr>
    </w:tbl>
    <w:p w:rsidR="001D222B" w:rsidRPr="001D222B" w:rsidRDefault="001D222B" w:rsidP="001D222B">
      <w:pPr>
        <w:spacing w:after="0" w:line="240" w:lineRule="auto"/>
        <w:rPr>
          <w:rFonts w:ascii="STIX" w:eastAsia="Times New Roman" w:hAnsi="STIX"/>
          <w:sz w:val="20"/>
          <w:szCs w:val="20"/>
        </w:rPr>
      </w:pPr>
    </w:p>
    <w:p w:rsidR="001D222B" w:rsidRPr="001D222B" w:rsidRDefault="001D222B" w:rsidP="001D222B">
      <w:pPr>
        <w:spacing w:after="0" w:line="240" w:lineRule="auto"/>
        <w:rPr>
          <w:rFonts w:ascii="STIX" w:eastAsia="Times New Roman" w:hAnsi="STIX"/>
          <w:sz w:val="20"/>
          <w:szCs w:val="20"/>
        </w:rPr>
      </w:pPr>
      <w:r w:rsidRPr="001D222B">
        <w:rPr>
          <w:rFonts w:ascii="STIX" w:eastAsia="Times New Roman" w:hAnsi="STIX"/>
          <w:sz w:val="20"/>
          <w:szCs w:val="20"/>
        </w:rPr>
        <w:t>A plot of the results is shown below. We have included the radius on this plot (dashed line and right scale):</w:t>
      </w:r>
    </w:p>
    <w:p w:rsidR="001D222B" w:rsidRPr="001D222B" w:rsidRDefault="001D222B" w:rsidP="001D222B">
      <w:pPr>
        <w:spacing w:after="0" w:line="240" w:lineRule="auto"/>
        <w:rPr>
          <w:rFonts w:ascii="STIX" w:eastAsia="Times New Roman" w:hAnsi="STIX"/>
          <w:sz w:val="20"/>
          <w:szCs w:val="20"/>
        </w:rPr>
      </w:pPr>
    </w:p>
    <w:p w:rsidR="001D222B" w:rsidRPr="001D222B" w:rsidRDefault="001D222B" w:rsidP="001D222B">
      <w:pPr>
        <w:spacing w:after="0" w:line="240" w:lineRule="auto"/>
        <w:rPr>
          <w:rFonts w:ascii="STIX" w:eastAsia="Times New Roman" w:hAnsi="STIX"/>
          <w:sz w:val="20"/>
          <w:szCs w:val="20"/>
        </w:rPr>
      </w:pPr>
      <w:r w:rsidRPr="001D222B">
        <w:rPr>
          <w:rFonts w:ascii="STIX MathJax Main" w:eastAsia="Times New Roman" w:hAnsi="STIX MathJax Main"/>
          <w:noProof/>
          <w:sz w:val="20"/>
          <w:szCs w:val="20"/>
        </w:rPr>
        <w:drawing>
          <wp:inline distT="0" distB="0" distL="0" distR="0">
            <wp:extent cx="3311525" cy="1252220"/>
            <wp:effectExtent l="0" t="0" r="3175" b="5080"/>
            <wp:docPr id="12"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0" cstate="print">
                      <a:extLst>
                        <a:ext uri="{28A0092B-C50C-407E-A947-70E740481C1C}">
                          <a14:useLocalDpi xmlns:arto="http://schemas.microsoft.com/office/word/2006/arto"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11525" cy="1252220"/>
                    </a:xfrm>
                    <a:prstGeom prst="rect">
                      <a:avLst/>
                    </a:prstGeom>
                    <a:noFill/>
                    <a:ln>
                      <a:noFill/>
                    </a:ln>
                  </pic:spPr>
                </pic:pic>
              </a:graphicData>
            </a:graphic>
          </wp:inline>
        </w:drawing>
      </w:r>
    </w:p>
    <w:p w:rsidR="001D222B" w:rsidRPr="001D222B" w:rsidRDefault="001D222B" w:rsidP="001D222B">
      <w:pPr>
        <w:spacing w:after="0" w:line="240" w:lineRule="auto"/>
        <w:rPr>
          <w:rFonts w:ascii="STIX" w:eastAsia="Times New Roman" w:hAnsi="STIX"/>
          <w:sz w:val="14"/>
          <w:szCs w:val="20"/>
        </w:rPr>
      </w:pPr>
    </w:p>
    <w:p w:rsidR="001D222B" w:rsidRPr="001D222B" w:rsidRDefault="001D222B" w:rsidP="001D222B">
      <w:pPr>
        <w:spacing w:after="0" w:line="240" w:lineRule="auto"/>
        <w:rPr>
          <w:rFonts w:ascii="STIX" w:eastAsia="Times New Roman" w:hAnsi="STIX"/>
          <w:sz w:val="20"/>
          <w:szCs w:val="24"/>
        </w:rPr>
      </w:pPr>
      <w:r w:rsidRPr="001D222B">
        <w:rPr>
          <w:rFonts w:ascii="STIX" w:eastAsia="Times New Roman" w:hAnsi="STIX"/>
          <w:sz w:val="20"/>
          <w:szCs w:val="24"/>
        </w:rPr>
        <w:t>Eq. (2) can be used to compute the final radius as</w:t>
      </w:r>
    </w:p>
    <w:p w:rsidR="001D222B" w:rsidRPr="001D222B" w:rsidRDefault="001D222B" w:rsidP="001D222B">
      <w:pPr>
        <w:spacing w:after="0" w:line="240" w:lineRule="auto"/>
        <w:rPr>
          <w:rFonts w:ascii="STIX" w:eastAsia="Times New Roman" w:hAnsi="STIX"/>
          <w:sz w:val="20"/>
          <w:szCs w:val="24"/>
        </w:rPr>
      </w:pPr>
    </w:p>
    <w:p w:rsidR="001D222B" w:rsidRPr="001D222B" w:rsidRDefault="001D222B" w:rsidP="001D222B">
      <w:pPr>
        <w:spacing w:after="0" w:line="240" w:lineRule="auto"/>
        <w:rPr>
          <w:rFonts w:ascii="STIX" w:eastAsia="Times New Roman" w:hAnsi="STIX"/>
          <w:sz w:val="20"/>
          <w:szCs w:val="24"/>
        </w:rPr>
      </w:pPr>
      <w:r w:rsidRPr="001D222B">
        <w:rPr>
          <w:rFonts w:ascii="STIX MathJax Main" w:eastAsia="Times New Roman" w:hAnsi="STIX MathJax Main"/>
          <w:position w:val="-26"/>
          <w:sz w:val="20"/>
          <w:szCs w:val="24"/>
        </w:rPr>
        <w:object w:dxaOrig="2780" w:dyaOrig="720">
          <v:shape id="_x0000_i1031" type="#_x0000_t75" style="width:138.75pt;height:36pt" o:ole="">
            <v:imagedata r:id="rId21" o:title=""/>
          </v:shape>
          <o:OLEObject Type="Embed" ProgID="Equation.DSMT4" ShapeID="_x0000_i1031" DrawAspect="Content" ObjectID="_1552650176" r:id="rId22"/>
        </w:object>
      </w:r>
    </w:p>
    <w:p w:rsidR="001D222B" w:rsidRPr="001D222B" w:rsidRDefault="001D222B" w:rsidP="001D222B">
      <w:pPr>
        <w:spacing w:after="0" w:line="240" w:lineRule="auto"/>
        <w:rPr>
          <w:rFonts w:ascii="STIX" w:eastAsia="Times New Roman" w:hAnsi="STIX"/>
          <w:sz w:val="20"/>
          <w:szCs w:val="24"/>
        </w:rPr>
      </w:pPr>
    </w:p>
    <w:p w:rsidR="001D222B" w:rsidRPr="001D222B" w:rsidRDefault="001D222B" w:rsidP="001D222B">
      <w:pPr>
        <w:spacing w:after="0" w:line="240" w:lineRule="auto"/>
        <w:rPr>
          <w:rFonts w:ascii="STIX" w:eastAsia="Times New Roman" w:hAnsi="STIX"/>
          <w:sz w:val="20"/>
          <w:szCs w:val="24"/>
        </w:rPr>
      </w:pPr>
      <w:r w:rsidRPr="001D222B">
        <w:rPr>
          <w:rFonts w:ascii="STIX" w:eastAsia="Times New Roman" w:hAnsi="STIX"/>
          <w:sz w:val="20"/>
          <w:szCs w:val="24"/>
        </w:rPr>
        <w:t>Therefore, the average evaporation rate can be computed as</w:t>
      </w:r>
    </w:p>
    <w:p w:rsidR="001D222B" w:rsidRPr="001D222B" w:rsidRDefault="001D222B" w:rsidP="001D222B">
      <w:pPr>
        <w:spacing w:after="0" w:line="240" w:lineRule="auto"/>
        <w:rPr>
          <w:rFonts w:ascii="STIX" w:eastAsia="Times New Roman" w:hAnsi="STIX"/>
          <w:sz w:val="20"/>
          <w:szCs w:val="24"/>
        </w:rPr>
      </w:pPr>
    </w:p>
    <w:p w:rsidR="001D222B" w:rsidRPr="001D222B" w:rsidRDefault="001D222B" w:rsidP="001D222B">
      <w:pPr>
        <w:spacing w:after="0" w:line="240" w:lineRule="auto"/>
        <w:rPr>
          <w:rFonts w:ascii="STIX" w:eastAsia="Times New Roman" w:hAnsi="STIX"/>
          <w:sz w:val="20"/>
          <w:szCs w:val="24"/>
        </w:rPr>
      </w:pPr>
      <w:r w:rsidRPr="001D222B">
        <w:rPr>
          <w:rFonts w:ascii="STIX MathJax Main" w:eastAsia="Times New Roman" w:hAnsi="STIX MathJax Main"/>
          <w:position w:val="-24"/>
          <w:sz w:val="20"/>
          <w:szCs w:val="24"/>
        </w:rPr>
        <w:object w:dxaOrig="4020" w:dyaOrig="639">
          <v:shape id="_x0000_i1032" type="#_x0000_t75" style="width:201pt;height:32.25pt" o:ole="">
            <v:imagedata r:id="rId23" o:title=""/>
          </v:shape>
          <o:OLEObject Type="Embed" ProgID="Equation.DSMT4" ShapeID="_x0000_i1032" DrawAspect="Content" ObjectID="_1552650177" r:id="rId24"/>
        </w:object>
      </w:r>
    </w:p>
    <w:p w:rsidR="001D222B" w:rsidRPr="001D222B" w:rsidRDefault="001D222B" w:rsidP="001D222B">
      <w:pPr>
        <w:spacing w:after="0" w:line="240" w:lineRule="auto"/>
        <w:rPr>
          <w:rFonts w:ascii="STIX" w:eastAsia="Times New Roman" w:hAnsi="STIX"/>
          <w:sz w:val="20"/>
          <w:szCs w:val="24"/>
        </w:rPr>
      </w:pPr>
    </w:p>
    <w:p w:rsidR="001D222B" w:rsidRPr="001D222B" w:rsidRDefault="001D222B" w:rsidP="001D222B">
      <w:pPr>
        <w:spacing w:after="0" w:line="240" w:lineRule="auto"/>
        <w:rPr>
          <w:rFonts w:ascii="STIX" w:eastAsia="Times New Roman" w:hAnsi="STIX"/>
          <w:sz w:val="20"/>
          <w:szCs w:val="24"/>
        </w:rPr>
      </w:pPr>
      <w:r w:rsidRPr="001D222B">
        <w:rPr>
          <w:rFonts w:ascii="STIX" w:eastAsia="Times New Roman" w:hAnsi="STIX"/>
          <w:sz w:val="20"/>
          <w:szCs w:val="24"/>
        </w:rPr>
        <w:t>which is approximately equal to the given evaporation rate of 0.08 mm</w:t>
      </w:r>
      <w:r w:rsidRPr="001D222B">
        <w:rPr>
          <w:rFonts w:ascii="Courier" w:eastAsia="Times New Roman" w:hAnsi="Courier"/>
          <w:sz w:val="20"/>
          <w:szCs w:val="24"/>
        </w:rPr>
        <w:t>/</w:t>
      </w:r>
      <w:r w:rsidRPr="001D222B">
        <w:rPr>
          <w:rFonts w:ascii="STIX" w:eastAsia="Times New Roman" w:hAnsi="STIX"/>
          <w:sz w:val="20"/>
          <w:szCs w:val="24"/>
        </w:rPr>
        <w:t>min.</w:t>
      </w:r>
    </w:p>
    <w:p w:rsidR="001D222B" w:rsidRPr="001D222B" w:rsidRDefault="001D222B" w:rsidP="001D222B">
      <w:pPr>
        <w:spacing w:after="0" w:line="240" w:lineRule="auto"/>
        <w:rPr>
          <w:rFonts w:ascii="STIX" w:eastAsia="Times New Roman" w:hAnsi="STIX"/>
          <w:sz w:val="20"/>
          <w:szCs w:val="24"/>
        </w:rPr>
      </w:pPr>
    </w:p>
    <w:p w:rsidR="002B099C" w:rsidRPr="002B099C" w:rsidRDefault="002B099C" w:rsidP="001D222B">
      <w:pPr>
        <w:keepNext/>
        <w:spacing w:after="0" w:line="240" w:lineRule="auto"/>
        <w:outlineLvl w:val="2"/>
        <w:rPr>
          <w:rFonts w:ascii="STIX" w:eastAsia="Times New Roman" w:hAnsi="STIX"/>
          <w:sz w:val="20"/>
          <w:szCs w:val="24"/>
        </w:rPr>
      </w:pPr>
    </w:p>
    <w:sectPr w:rsidR="002B099C" w:rsidRPr="002B099C" w:rsidSect="002C1C68">
      <w:footerReference w:type="default" r:id="rId25"/>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BCF" w:rsidRPr="00F23BCF" w:rsidRDefault="00F23BCF">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0A32"/>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35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28EC"/>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3C57"/>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3FDF"/>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3BCF"/>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image" Target="media/image7.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8.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10" Type="http://schemas.openxmlformats.org/officeDocument/2006/relationships/oleObject" Target="embeddings/oleObject2.bin"/><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7.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201</Words>
  <Characters>1150</Characters>
  <Application>Microsoft Office Word</Application>
  <DocSecurity>0</DocSecurity>
  <Lines>9</Lines>
  <Paragraphs>2</Paragraphs>
  <ScaleCrop>false</ScaleCrop>
  <Company/>
  <LinksUpToDate>false</LinksUpToDate>
  <CharactersWithSpaces>1349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2017-03-29T16:03:00Z</dcterms:created>
  <dcterms:modified xsi:type="dcterms:W3CDTF">2017-04-02T15:43:00Z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