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FB38A5">
        <w:rPr>
          <w:b/>
          <w:sz w:val="20"/>
          <w:szCs w:val="20"/>
        </w:rPr>
        <w:t>18</w:t>
      </w:r>
    </w:p>
    <w:p w:rsidR="00983C57" w:rsidRDefault="00983C57" w:rsidP="001B2705">
      <w:pPr>
        <w:pStyle w:val="Default"/>
        <w:rPr>
          <w:b/>
          <w:sz w:val="20"/>
          <w:szCs w:val="20"/>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b/>
          <w:sz w:val="20"/>
          <w:szCs w:val="24"/>
        </w:rPr>
        <w:t>(a)</w:t>
      </w:r>
      <w:r w:rsidRPr="00FB38A5">
        <w:rPr>
          <w:rFonts w:ascii="STIX" w:eastAsia="Times New Roman" w:hAnsi="STIX"/>
          <w:sz w:val="20"/>
          <w:szCs w:val="24"/>
        </w:rPr>
        <w:t xml:space="preserve"> For the constant temperature case, </w:t>
      </w:r>
      <w:smartTag w:uri="urn:schemas-microsoft-com:office:smarttags" w:element="place">
        <w:smartTag w:uri="urn:schemas-microsoft-com:office:smarttags" w:element="City">
          <w:r w:rsidRPr="00FB38A5">
            <w:rPr>
              <w:rFonts w:ascii="STIX" w:eastAsia="Times New Roman" w:hAnsi="STIX"/>
              <w:sz w:val="20"/>
              <w:szCs w:val="24"/>
            </w:rPr>
            <w:t>Newton</w:t>
          </w:r>
        </w:smartTag>
      </w:smartTag>
      <w:r w:rsidRPr="00FB38A5">
        <w:rPr>
          <w:rFonts w:ascii="STIX" w:eastAsia="Times New Roman" w:hAnsi="STIX"/>
          <w:sz w:val="20"/>
          <w:szCs w:val="24"/>
        </w:rPr>
        <w:t>’s law of cooling is written as</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ind w:left="360"/>
        <w:rPr>
          <w:rFonts w:ascii="STIX" w:eastAsia="Times New Roman" w:hAnsi="STIX"/>
          <w:sz w:val="20"/>
          <w:szCs w:val="24"/>
        </w:rPr>
      </w:pPr>
      <w:r w:rsidRPr="00FB38A5">
        <w:rPr>
          <w:rFonts w:ascii="STIX MathJax Main" w:eastAsia="Times New Roman" w:hAnsi="STIX MathJax Main"/>
          <w:position w:val="-24"/>
          <w:sz w:val="20"/>
          <w:szCs w:val="24"/>
        </w:rPr>
        <w:object w:dxaOrig="19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2.25pt" o:ole="">
            <v:imagedata r:id="rId7" o:title=""/>
          </v:shape>
          <o:OLEObject Type="Embed" ProgID="Equation.DSMT4" ShapeID="_x0000_i1025" DrawAspect="Content" ObjectID="_1552650226" r:id="rId8"/>
        </w:objec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t>The first two steps of Euler’s methods are</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ind w:left="360"/>
        <w:rPr>
          <w:rFonts w:ascii="STIX" w:eastAsia="Times New Roman" w:hAnsi="STIX"/>
          <w:sz w:val="20"/>
          <w:szCs w:val="24"/>
        </w:rPr>
      </w:pPr>
      <w:r w:rsidRPr="00FB38A5">
        <w:rPr>
          <w:rFonts w:ascii="STIX MathJax Main" w:eastAsia="Times New Roman" w:hAnsi="STIX MathJax Main"/>
          <w:position w:val="-40"/>
          <w:sz w:val="20"/>
          <w:szCs w:val="24"/>
        </w:rPr>
        <w:object w:dxaOrig="7960" w:dyaOrig="920">
          <v:shape id="_x0000_i1026" type="#_x0000_t75" style="width:398.25pt;height:45.75pt" o:ole="">
            <v:imagedata r:id="rId9" o:title=""/>
          </v:shape>
          <o:OLEObject Type="Embed" ProgID="Equation.DSMT4" ShapeID="_x0000_i1026" DrawAspect="Content" ObjectID="_1552650227" r:id="rId10"/>
        </w:objec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t>The remaining calculations are summarized in the following table:</w:t>
      </w:r>
    </w:p>
    <w:p w:rsidR="00FB38A5" w:rsidRPr="00FB38A5" w:rsidRDefault="00FB38A5" w:rsidP="00FB38A5">
      <w:pPr>
        <w:spacing w:after="0" w:line="240" w:lineRule="auto"/>
        <w:rPr>
          <w:rFonts w:ascii="STIX" w:eastAsia="Times New Roman" w:hAnsi="STIX"/>
          <w:sz w:val="20"/>
          <w:szCs w:val="24"/>
        </w:rPr>
      </w:pPr>
    </w:p>
    <w:tbl>
      <w:tblPr>
        <w:tblW w:w="4204" w:type="dxa"/>
        <w:tblCellMar>
          <w:left w:w="0" w:type="dxa"/>
          <w:right w:w="0" w:type="dxa"/>
        </w:tblCellMar>
        <w:tblLook w:val="0000"/>
      </w:tblPr>
      <w:tblGrid>
        <w:gridCol w:w="992"/>
        <w:gridCol w:w="992"/>
        <w:gridCol w:w="1292"/>
        <w:gridCol w:w="992"/>
      </w:tblGrid>
      <w:tr w:rsidR="00FB38A5" w:rsidRPr="00FB38A5" w:rsidTr="00FF7247">
        <w:trPr>
          <w:trHeight w:val="144"/>
        </w:trPr>
        <w:tc>
          <w:tcPr>
            <w:tcW w:w="976"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r w:rsidRPr="00FB38A5">
              <w:rPr>
                <w:rFonts w:ascii="STIX" w:eastAsia="Times New Roman" w:hAnsi="STIX" w:cs="STIX MathJax Main"/>
                <w:b/>
                <w:i/>
                <w:sz w:val="20"/>
                <w:szCs w:val="20"/>
                <w:vertAlign w:val="subscript"/>
              </w:rPr>
              <w:t>a</w:t>
            </w:r>
          </w:p>
        </w:tc>
        <w:tc>
          <w:tcPr>
            <w:tcW w:w="1276"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p>
        </w:tc>
        <w:tc>
          <w:tcPr>
            <w:tcW w:w="976"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sz w:val="20"/>
                <w:szCs w:val="20"/>
              </w:rPr>
            </w:pPr>
            <w:r w:rsidRPr="00FB38A5">
              <w:rPr>
                <w:rFonts w:ascii="STIX" w:eastAsia="Times New Roman" w:hAnsi="STIX" w:cs="STIX MathJax Main"/>
                <w:b/>
                <w:i/>
                <w:sz w:val="20"/>
                <w:szCs w:val="20"/>
              </w:rPr>
              <w:t>dT</w:t>
            </w:r>
            <w:r w:rsidRPr="00FB38A5">
              <w:rPr>
                <w:rFonts w:ascii="Courier" w:eastAsia="Times New Roman" w:hAnsi="Courier" w:cs="STIX MathJax Main"/>
                <w:b/>
                <w:sz w:val="20"/>
                <w:szCs w:val="20"/>
              </w:rPr>
              <w:t>/</w:t>
            </w:r>
            <w:r w:rsidRPr="00FB38A5">
              <w:rPr>
                <w:rFonts w:ascii="STIX" w:eastAsia="Times New Roman" w:hAnsi="STIX" w:cs="STIX MathJax Main"/>
                <w:b/>
                <w:i/>
                <w:sz w:val="20"/>
                <w:szCs w:val="20"/>
              </w:rPr>
              <w:t>dt</w:t>
            </w:r>
          </w:p>
        </w:tc>
      </w:tr>
      <w:tr w:rsidR="00FB38A5" w:rsidRPr="00FB38A5" w:rsidTr="00FF7247">
        <w:trPr>
          <w:trHeight w:val="144"/>
        </w:trPr>
        <w:tc>
          <w:tcPr>
            <w:tcW w:w="0" w:type="auto"/>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0:00</w:t>
            </w:r>
          </w:p>
        </w:tc>
        <w:tc>
          <w:tcPr>
            <w:tcW w:w="0" w:type="auto"/>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37.0000</w:t>
            </w:r>
          </w:p>
        </w:tc>
        <w:tc>
          <w:tcPr>
            <w:tcW w:w="0" w:type="auto"/>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-3.2400</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0:30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35.3800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-3.0456</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33.8572</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-2.8629</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32.4258</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-2.6911</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31.0802</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-2.5296</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29.8154</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-2.3778</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28.6265</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-2.2352</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27.5089</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-2.1011</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4:00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26.4584</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-1.9750</w:t>
            </w:r>
          </w:p>
        </w:tc>
      </w:tr>
      <w:tr w:rsidR="00FB38A5" w:rsidRPr="00FB38A5" w:rsidTr="00FF7247">
        <w:trPr>
          <w:trHeight w:val="144"/>
        </w:trPr>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4:30</w:t>
            </w:r>
          </w:p>
        </w:tc>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25.4709</w:t>
            </w:r>
          </w:p>
        </w:tc>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-1.8565</w:t>
            </w:r>
          </w:p>
        </w:tc>
      </w:tr>
      <w:tr w:rsidR="00FB38A5" w:rsidRPr="00FB38A5" w:rsidTr="00FF7247">
        <w:trPr>
          <w:trHeight w:val="144"/>
        </w:trPr>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5:00</w:t>
            </w:r>
          </w:p>
        </w:tc>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24.5426</w:t>
            </w:r>
          </w:p>
        </w:tc>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-1.7451</w:t>
            </w:r>
          </w:p>
        </w:tc>
      </w:tr>
    </w:tbl>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b/>
          <w:sz w:val="20"/>
          <w:szCs w:val="24"/>
        </w:rPr>
        <w:t>(b)</w:t>
      </w:r>
      <w:r w:rsidRPr="00FB38A5">
        <w:rPr>
          <w:rFonts w:ascii="STIX" w:eastAsia="Times New Roman" w:hAnsi="STIX"/>
          <w:sz w:val="20"/>
          <w:szCs w:val="24"/>
        </w:rPr>
        <w:t xml:space="preserve"> For this case, the room temperature can be represented as</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ind w:left="360"/>
        <w:rPr>
          <w:rFonts w:ascii="STIX" w:eastAsia="Times New Roman" w:hAnsi="STIX"/>
          <w:sz w:val="20"/>
          <w:szCs w:val="24"/>
        </w:rPr>
      </w:pPr>
      <w:r w:rsidRPr="00FB38A5">
        <w:rPr>
          <w:rFonts w:ascii="STIX MathJax Main" w:eastAsia="Times New Roman" w:hAnsi="STIX MathJax Main"/>
          <w:position w:val="-12"/>
          <w:sz w:val="20"/>
          <w:szCs w:val="24"/>
        </w:rPr>
        <w:object w:dxaOrig="1180" w:dyaOrig="360">
          <v:shape id="_x0000_i1027" type="#_x0000_t75" style="width:59.25pt;height:18pt" o:ole="">
            <v:imagedata r:id="rId11" o:title=""/>
          </v:shape>
          <o:OLEObject Type="Embed" ProgID="Equation.DSMT4" ShapeID="_x0000_i1027" DrawAspect="Content" ObjectID="_1552650228" r:id="rId12"/>
        </w:objec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t xml:space="preserve">where </w:t>
      </w:r>
      <w:r w:rsidRPr="00FB38A5">
        <w:rPr>
          <w:rFonts w:ascii="STIX" w:eastAsia="Times New Roman" w:hAnsi="STIX"/>
          <w:i/>
          <w:sz w:val="20"/>
          <w:szCs w:val="24"/>
        </w:rPr>
        <w:t>t</w:t>
      </w:r>
      <w:r w:rsidRPr="00FB38A5">
        <w:rPr>
          <w:rFonts w:ascii="STIX" w:eastAsia="Times New Roman" w:hAnsi="STIX"/>
          <w:sz w:val="20"/>
          <w:szCs w:val="24"/>
        </w:rPr>
        <w:t xml:space="preserve"> </w:t>
      </w:r>
      <w:r w:rsidRPr="00FB38A5">
        <w:rPr>
          <w:rFonts w:ascii="Courier" w:eastAsia="Times New Roman" w:hAnsi="Courier"/>
          <w:sz w:val="20"/>
          <w:szCs w:val="24"/>
        </w:rPr>
        <w:t>=</w:t>
      </w:r>
      <w:r w:rsidRPr="00FB38A5">
        <w:rPr>
          <w:rFonts w:ascii="STIX" w:eastAsia="Times New Roman" w:hAnsi="STIX"/>
          <w:sz w:val="20"/>
          <w:szCs w:val="24"/>
        </w:rPr>
        <w:t xml:space="preserve"> time </w:t>
      </w:r>
      <w:r w:rsidRPr="00FB38A5">
        <w:rPr>
          <w:rFonts w:ascii="Courier" w:eastAsia="Times New Roman" w:hAnsi="Courier"/>
          <w:sz w:val="20"/>
          <w:szCs w:val="24"/>
        </w:rPr>
        <w:t>(</w:t>
      </w:r>
      <w:r w:rsidRPr="00FB38A5">
        <w:rPr>
          <w:rFonts w:ascii="STIX" w:eastAsia="Times New Roman" w:hAnsi="STIX"/>
          <w:sz w:val="20"/>
          <w:szCs w:val="24"/>
        </w:rPr>
        <w:t>hrs</w:t>
      </w:r>
      <w:r w:rsidRPr="00FB38A5">
        <w:rPr>
          <w:rFonts w:ascii="Courier" w:eastAsia="Times New Roman" w:hAnsi="Courier"/>
          <w:sz w:val="20"/>
          <w:szCs w:val="24"/>
        </w:rPr>
        <w:t>)</w:t>
      </w:r>
      <w:r w:rsidRPr="00FB38A5">
        <w:rPr>
          <w:rFonts w:ascii="STIX" w:eastAsia="Times New Roman" w:hAnsi="STIX"/>
          <w:sz w:val="20"/>
          <w:szCs w:val="24"/>
        </w:rPr>
        <w:t xml:space="preserve">. </w:t>
      </w:r>
      <w:smartTag w:uri="urn:schemas-microsoft-com:office:smarttags" w:element="City">
        <w:smartTag w:uri="urn:schemas-microsoft-com:office:smarttags" w:element="place">
          <w:r w:rsidRPr="00FB38A5">
            <w:rPr>
              <w:rFonts w:ascii="STIX" w:eastAsia="Times New Roman" w:hAnsi="STIX"/>
              <w:sz w:val="20"/>
              <w:szCs w:val="24"/>
            </w:rPr>
            <w:t>Newton</w:t>
          </w:r>
        </w:smartTag>
      </w:smartTag>
      <w:r w:rsidRPr="00FB38A5">
        <w:rPr>
          <w:rFonts w:ascii="STIX" w:eastAsia="Times New Roman" w:hAnsi="STIX"/>
          <w:sz w:val="20"/>
          <w:szCs w:val="24"/>
        </w:rPr>
        <w:t>’s law of cooling is written as</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ind w:left="360"/>
        <w:rPr>
          <w:rFonts w:ascii="STIX" w:eastAsia="Times New Roman" w:hAnsi="STIX"/>
          <w:sz w:val="20"/>
          <w:szCs w:val="24"/>
        </w:rPr>
      </w:pPr>
      <w:r w:rsidRPr="00FB38A5">
        <w:rPr>
          <w:rFonts w:ascii="STIX MathJax Main" w:eastAsia="Times New Roman" w:hAnsi="STIX MathJax Main"/>
          <w:position w:val="-24"/>
          <w:sz w:val="20"/>
          <w:szCs w:val="24"/>
        </w:rPr>
        <w:object w:dxaOrig="2380" w:dyaOrig="639">
          <v:shape id="_x0000_i1028" type="#_x0000_t75" style="width:119.25pt;height:32.25pt" o:ole="">
            <v:imagedata r:id="rId13" o:title=""/>
          </v:shape>
          <o:OLEObject Type="Embed" ProgID="Equation.DSMT4" ShapeID="_x0000_i1028" DrawAspect="Content" ObjectID="_1552650229" r:id="rId14"/>
        </w:object>
      </w:r>
    </w:p>
    <w:p w:rsidR="00FB38A5" w:rsidRPr="00FB38A5" w:rsidRDefault="00FB38A5" w:rsidP="00FB38A5">
      <w:pPr>
        <w:spacing w:after="0" w:line="240" w:lineRule="auto"/>
        <w:rPr>
          <w:rFonts w:ascii="STIX" w:eastAsia="Times New Roman" w:hAnsi="STIX"/>
          <w:sz w:val="20"/>
          <w:szCs w:val="24"/>
        </w:rPr>
      </w:pPr>
    </w:p>
    <w:p w:rsidR="00FB38A5" w:rsidRDefault="00FB38A5" w:rsidP="00FB38A5">
      <w:pPr>
        <w:rPr>
          <w:rFonts w:ascii="STIX" w:hAnsi="STIX" w:cs="STIX"/>
          <w:i/>
          <w:sz w:val="20"/>
          <w:szCs w:val="20"/>
        </w:rPr>
        <w:sectPr w:rsidR="00FB38A5" w:rsidSect="00A24CE3">
          <w:footerReference w:type="default" r:id="rId1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lastRenderedPageBreak/>
        <w:t>The first two steps of Euler’s methods are</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ind w:left="360"/>
        <w:rPr>
          <w:rFonts w:ascii="STIX" w:eastAsia="Times New Roman" w:hAnsi="STIX"/>
          <w:sz w:val="20"/>
          <w:szCs w:val="24"/>
        </w:rPr>
      </w:pPr>
      <w:r w:rsidRPr="00FB38A5">
        <w:rPr>
          <w:rFonts w:ascii="STIX MathJax Main" w:eastAsia="Times New Roman" w:hAnsi="STIX MathJax Main"/>
          <w:position w:val="-28"/>
          <w:sz w:val="20"/>
          <w:szCs w:val="24"/>
        </w:rPr>
        <w:object w:dxaOrig="7400" w:dyaOrig="680">
          <v:shape id="_x0000_i1029" type="#_x0000_t75" style="width:369.75pt;height:33.75pt" o:ole="">
            <v:imagedata r:id="rId16" o:title=""/>
          </v:shape>
          <o:OLEObject Type="Embed" ProgID="Equation.DSMT4" ShapeID="_x0000_i1029" DrawAspect="Content" ObjectID="_1552650230" r:id="rId17"/>
        </w:objec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t>The remaining calculations are summarized in the following table:</w:t>
      </w:r>
    </w:p>
    <w:p w:rsidR="00FB38A5" w:rsidRPr="00FB38A5" w:rsidRDefault="00FB38A5" w:rsidP="00FB38A5">
      <w:pPr>
        <w:spacing w:after="0" w:line="240" w:lineRule="auto"/>
        <w:rPr>
          <w:rFonts w:ascii="STIX" w:eastAsia="Times New Roman" w:hAnsi="STIX"/>
          <w:sz w:val="20"/>
          <w:szCs w:val="24"/>
        </w:rPr>
      </w:pPr>
    </w:p>
    <w:tbl>
      <w:tblPr>
        <w:tblW w:w="4460" w:type="dxa"/>
        <w:tblCellMar>
          <w:left w:w="0" w:type="dxa"/>
          <w:right w:w="0" w:type="dxa"/>
        </w:tblCellMar>
        <w:tblLook w:val="0000"/>
      </w:tblPr>
      <w:tblGrid>
        <w:gridCol w:w="1040"/>
        <w:gridCol w:w="1045"/>
        <w:gridCol w:w="1393"/>
        <w:gridCol w:w="1051"/>
      </w:tblGrid>
      <w:tr w:rsidR="00FB38A5" w:rsidRPr="00FB38A5" w:rsidTr="00FF7247">
        <w:trPr>
          <w:trHeight w:val="144"/>
        </w:trPr>
        <w:tc>
          <w:tcPr>
            <w:tcW w:w="1024"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p>
        </w:tc>
        <w:tc>
          <w:tcPr>
            <w:tcW w:w="1029"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r w:rsidRPr="00FB38A5">
              <w:rPr>
                <w:rFonts w:ascii="STIX" w:eastAsia="Times New Roman" w:hAnsi="STIX" w:cs="STIX MathJax Main"/>
                <w:b/>
                <w:i/>
                <w:sz w:val="20"/>
                <w:szCs w:val="20"/>
                <w:vertAlign w:val="subscript"/>
              </w:rPr>
              <w:t>a</w:t>
            </w:r>
          </w:p>
        </w:tc>
        <w:tc>
          <w:tcPr>
            <w:tcW w:w="1372"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i/>
                <w:sz w:val="20"/>
                <w:szCs w:val="20"/>
              </w:rPr>
            </w:pPr>
            <w:r w:rsidRPr="00FB38A5">
              <w:rPr>
                <w:rFonts w:ascii="STIX" w:eastAsia="Times New Roman" w:hAnsi="STIX" w:cs="STIX MathJax Main"/>
                <w:b/>
                <w:i/>
                <w:sz w:val="20"/>
                <w:szCs w:val="20"/>
              </w:rPr>
              <w:t>T</w:t>
            </w:r>
          </w:p>
        </w:tc>
        <w:tc>
          <w:tcPr>
            <w:tcW w:w="1035" w:type="dxa"/>
            <w:tcBorders>
              <w:top w:val="single" w:sz="12" w:space="0" w:color="auto"/>
              <w:left w:val="nil"/>
              <w:bottom w:val="single" w:sz="6"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b/>
                <w:sz w:val="20"/>
                <w:szCs w:val="20"/>
              </w:rPr>
            </w:pPr>
            <w:r w:rsidRPr="00FB38A5">
              <w:rPr>
                <w:rFonts w:ascii="STIX" w:eastAsia="Times New Roman" w:hAnsi="STIX" w:cs="STIX MathJax Main"/>
                <w:b/>
                <w:i/>
                <w:sz w:val="20"/>
                <w:szCs w:val="20"/>
              </w:rPr>
              <w:t>dT</w:t>
            </w:r>
            <w:r w:rsidRPr="00FB38A5">
              <w:rPr>
                <w:rFonts w:ascii="Courier" w:eastAsia="Times New Roman" w:hAnsi="Courier" w:cs="STIX MathJax Main"/>
                <w:b/>
                <w:sz w:val="20"/>
                <w:szCs w:val="20"/>
              </w:rPr>
              <w:t>/</w:t>
            </w:r>
            <w:r w:rsidRPr="00FB38A5">
              <w:rPr>
                <w:rFonts w:ascii="STIX" w:eastAsia="Times New Roman" w:hAnsi="STIX" w:cs="STIX MathJax Main"/>
                <w:b/>
                <w:i/>
                <w:sz w:val="20"/>
                <w:szCs w:val="20"/>
              </w:rPr>
              <w:t>dt</w:t>
            </w:r>
          </w:p>
        </w:tc>
      </w:tr>
      <w:tr w:rsidR="00FB38A5" w:rsidRPr="00FB38A5" w:rsidTr="00FF7247">
        <w:trPr>
          <w:trHeight w:val="144"/>
        </w:trPr>
        <w:tc>
          <w:tcPr>
            <w:tcW w:w="1024" w:type="dxa"/>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0:00</w:t>
            </w:r>
          </w:p>
        </w:tc>
        <w:tc>
          <w:tcPr>
            <w:tcW w:w="1024" w:type="dxa"/>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w:t>
            </w:r>
          </w:p>
        </w:tc>
        <w:tc>
          <w:tcPr>
            <w:tcW w:w="1377" w:type="dxa"/>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37.0000</w:t>
            </w:r>
          </w:p>
        </w:tc>
        <w:tc>
          <w:tcPr>
            <w:tcW w:w="1035" w:type="dxa"/>
            <w:tcBorders>
              <w:top w:val="single" w:sz="6" w:space="0" w:color="auto"/>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-2.0400</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0:30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19</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35.9800</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-2.0376</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18</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34.9612</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-2.0353</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17</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33.9435</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-2.0332</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16</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32.9269</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-2.0312</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15</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31.9113</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-2.0294</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14</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30.8966</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-2.0276</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3:30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13</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29.8828</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-2.0259</w:t>
            </w:r>
          </w:p>
        </w:tc>
      </w:tr>
      <w:tr w:rsidR="00FB38A5" w:rsidRPr="00FB38A5" w:rsidTr="00FF7247">
        <w:trPr>
          <w:trHeight w:val="144"/>
        </w:trPr>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4:00</w:t>
            </w:r>
          </w:p>
        </w:tc>
        <w:tc>
          <w:tcPr>
            <w:tcW w:w="0" w:type="auto"/>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12</w:t>
            </w:r>
          </w:p>
        </w:tc>
        <w:tc>
          <w:tcPr>
            <w:tcW w:w="1377"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28.8699</w:t>
            </w:r>
          </w:p>
        </w:tc>
        <w:tc>
          <w:tcPr>
            <w:tcW w:w="1035" w:type="dxa"/>
            <w:tcBorders>
              <w:top w:val="nil"/>
              <w:left w:val="nil"/>
              <w:bottom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-2.0244</w:t>
            </w:r>
          </w:p>
        </w:tc>
      </w:tr>
      <w:tr w:rsidR="00FB38A5" w:rsidRPr="00FB38A5" w:rsidTr="00FF7247">
        <w:trPr>
          <w:trHeight w:val="144"/>
        </w:trPr>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4:30</w:t>
            </w:r>
          </w:p>
        </w:tc>
        <w:tc>
          <w:tcPr>
            <w:tcW w:w="0" w:type="auto"/>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11</w:t>
            </w:r>
          </w:p>
        </w:tc>
        <w:tc>
          <w:tcPr>
            <w:tcW w:w="1377" w:type="dxa"/>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27.8577</w:t>
            </w:r>
          </w:p>
        </w:tc>
        <w:tc>
          <w:tcPr>
            <w:tcW w:w="1035" w:type="dxa"/>
            <w:tcBorders>
              <w:top w:val="nil"/>
              <w:left w:val="nil"/>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-2.0229</w:t>
            </w:r>
          </w:p>
        </w:tc>
      </w:tr>
      <w:tr w:rsidR="00FB38A5" w:rsidRPr="00FB38A5" w:rsidTr="00FF7247">
        <w:trPr>
          <w:trHeight w:val="144"/>
        </w:trPr>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5:00</w:t>
            </w:r>
          </w:p>
        </w:tc>
        <w:tc>
          <w:tcPr>
            <w:tcW w:w="0" w:type="auto"/>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10</w:t>
            </w:r>
          </w:p>
        </w:tc>
        <w:tc>
          <w:tcPr>
            <w:tcW w:w="1377" w:type="dxa"/>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26.8462</w:t>
            </w:r>
          </w:p>
        </w:tc>
        <w:tc>
          <w:tcPr>
            <w:tcW w:w="1035" w:type="dxa"/>
            <w:tcBorders>
              <w:top w:val="nil"/>
              <w:left w:val="nil"/>
              <w:bottom w:val="single" w:sz="12" w:space="0" w:color="auto"/>
              <w:right w:val="nil"/>
            </w:tcBorders>
            <w:shd w:val="clear" w:color="auto" w:fill="auto"/>
            <w:noWrap/>
            <w:vAlign w:val="center"/>
          </w:tcPr>
          <w:p w:rsidR="00FB38A5" w:rsidRPr="00FB38A5" w:rsidRDefault="00FB38A5" w:rsidP="00FB38A5">
            <w:pPr>
              <w:spacing w:after="0" w:line="240" w:lineRule="auto"/>
              <w:jc w:val="center"/>
              <w:rPr>
                <w:rFonts w:ascii="STIX MathJax Main" w:eastAsia="Times New Roman" w:hAnsi="STIX MathJax Main" w:cs="STIX MathJax Main"/>
                <w:sz w:val="18"/>
                <w:szCs w:val="20"/>
              </w:rPr>
            </w:pPr>
            <w:r w:rsidRPr="00FB38A5">
              <w:rPr>
                <w:rFonts w:ascii="STIX" w:eastAsia="Times New Roman" w:hAnsi="STIX" w:cs="STIX MathJax Main"/>
                <w:sz w:val="18"/>
                <w:szCs w:val="20"/>
              </w:rPr>
              <w:t>-2.0215</w:t>
            </w:r>
          </w:p>
        </w:tc>
      </w:tr>
    </w:tbl>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sz w:val="20"/>
          <w:szCs w:val="24"/>
        </w:rPr>
        <w:t xml:space="preserve">Comparison with (a) indicates that the effect of the room air temperature has a significant effect on the expected temperature at the end of the 5-hr period </w:t>
      </w:r>
      <w:r w:rsidRPr="00FB38A5">
        <w:rPr>
          <w:rFonts w:ascii="Courier" w:eastAsia="Times New Roman" w:hAnsi="Courier"/>
          <w:sz w:val="20"/>
          <w:szCs w:val="24"/>
        </w:rPr>
        <w:t>(</w:t>
      </w:r>
      <w:r w:rsidRPr="00FB38A5">
        <w:rPr>
          <w:rFonts w:ascii="STIX" w:eastAsia="Times New Roman" w:hAnsi="STIX"/>
          <w:sz w:val="20"/>
          <w:szCs w:val="24"/>
        </w:rPr>
        <w:t xml:space="preserve">difference </w:t>
      </w:r>
      <w:r w:rsidRPr="00FB38A5">
        <w:rPr>
          <w:rFonts w:ascii="Courier" w:eastAsia="Times New Roman" w:hAnsi="Courier"/>
          <w:sz w:val="20"/>
          <w:szCs w:val="24"/>
        </w:rPr>
        <w:t>=</w:t>
      </w:r>
      <w:r w:rsidRPr="00FB38A5">
        <w:rPr>
          <w:rFonts w:ascii="STIX" w:eastAsia="Times New Roman" w:hAnsi="STIX"/>
          <w:sz w:val="20"/>
          <w:szCs w:val="24"/>
        </w:rPr>
        <w:t xml:space="preserve"> 26.8462 - 24.5426 </w:t>
      </w:r>
      <w:r w:rsidRPr="00FB38A5">
        <w:rPr>
          <w:rFonts w:ascii="Courier" w:eastAsia="Times New Roman" w:hAnsi="Courier"/>
          <w:sz w:val="20"/>
          <w:szCs w:val="24"/>
        </w:rPr>
        <w:t xml:space="preserve">= </w:t>
      </w:r>
      <w:r w:rsidRPr="00FB38A5">
        <w:rPr>
          <w:rFonts w:ascii="STIX" w:eastAsia="Times New Roman" w:hAnsi="STIX"/>
          <w:sz w:val="20"/>
          <w:szCs w:val="24"/>
        </w:rPr>
        <w:t>2.3036</w:t>
      </w:r>
      <w:r w:rsidRPr="00FB38A5">
        <w:rPr>
          <w:rFonts w:ascii="Courier" w:eastAsia="Times New Roman" w:hAnsi="Courier"/>
          <w:sz w:val="20"/>
          <w:szCs w:val="24"/>
          <w:vertAlign w:val="superscript"/>
        </w:rPr>
        <w:t>o</w:t>
      </w:r>
      <w:r w:rsidRPr="00FB38A5">
        <w:rPr>
          <w:rFonts w:ascii="STIX" w:eastAsia="Times New Roman" w:hAnsi="STIX"/>
          <w:sz w:val="20"/>
          <w:szCs w:val="24"/>
        </w:rPr>
        <w:t>C</w:t>
      </w:r>
      <w:r w:rsidRPr="00FB38A5">
        <w:rPr>
          <w:rFonts w:ascii="Courier" w:eastAsia="Times New Roman" w:hAnsi="Courier"/>
          <w:sz w:val="20"/>
          <w:szCs w:val="24"/>
        </w:rPr>
        <w:t>)</w:t>
      </w:r>
      <w:r w:rsidRPr="00FB38A5">
        <w:rPr>
          <w:rFonts w:ascii="STIX" w:eastAsia="Times New Roman" w:hAnsi="STIX"/>
          <w:sz w:val="20"/>
          <w:szCs w:val="24"/>
        </w:rPr>
        <w:t>.</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w:eastAsia="Times New Roman" w:hAnsi="STIX"/>
          <w:b/>
          <w:sz w:val="20"/>
          <w:szCs w:val="24"/>
        </w:rPr>
        <w:t>(c)</w:t>
      </w:r>
      <w:r w:rsidRPr="00FB38A5">
        <w:rPr>
          <w:rFonts w:ascii="STIX" w:eastAsia="Times New Roman" w:hAnsi="STIX"/>
          <w:sz w:val="20"/>
          <w:szCs w:val="24"/>
        </w:rPr>
        <w:t xml:space="preserve"> The solutions for (a) Constant </w:t>
      </w:r>
      <w:r w:rsidRPr="00FB38A5">
        <w:rPr>
          <w:rFonts w:ascii="STIX" w:eastAsia="Times New Roman" w:hAnsi="STIX"/>
          <w:i/>
          <w:sz w:val="20"/>
          <w:szCs w:val="24"/>
        </w:rPr>
        <w:t>T</w:t>
      </w:r>
      <w:r w:rsidRPr="00FB38A5">
        <w:rPr>
          <w:rFonts w:ascii="STIX" w:eastAsia="Times New Roman" w:hAnsi="STIX"/>
          <w:i/>
          <w:sz w:val="20"/>
          <w:szCs w:val="24"/>
          <w:vertAlign w:val="subscript"/>
        </w:rPr>
        <w:t>a</w:t>
      </w:r>
      <w:r w:rsidRPr="00FB38A5">
        <w:rPr>
          <w:rFonts w:ascii="STIX" w:eastAsia="Times New Roman" w:hAnsi="STIX"/>
          <w:sz w:val="20"/>
          <w:szCs w:val="24"/>
        </w:rPr>
        <w:t xml:space="preserve">, and (b) Cooling </w:t>
      </w:r>
      <w:r w:rsidRPr="00FB38A5">
        <w:rPr>
          <w:rFonts w:ascii="STIX" w:eastAsia="Times New Roman" w:hAnsi="STIX"/>
          <w:i/>
          <w:sz w:val="20"/>
          <w:szCs w:val="24"/>
        </w:rPr>
        <w:t>T</w:t>
      </w:r>
      <w:r w:rsidRPr="00FB38A5">
        <w:rPr>
          <w:rFonts w:ascii="STIX" w:eastAsia="Times New Roman" w:hAnsi="STIX"/>
          <w:i/>
          <w:sz w:val="20"/>
          <w:szCs w:val="24"/>
          <w:vertAlign w:val="subscript"/>
        </w:rPr>
        <w:t>a</w:t>
      </w:r>
      <w:r w:rsidRPr="00FB38A5">
        <w:rPr>
          <w:rFonts w:ascii="STIX" w:eastAsia="Times New Roman" w:hAnsi="STIX"/>
          <w:sz w:val="20"/>
          <w:szCs w:val="24"/>
        </w:rPr>
        <w:t xml:space="preserve"> are plotted below:</w:t>
      </w:r>
    </w:p>
    <w:p w:rsidR="00FB38A5" w:rsidRPr="00FB38A5" w:rsidRDefault="00FB38A5" w:rsidP="00FB38A5">
      <w:pPr>
        <w:spacing w:after="0" w:line="240" w:lineRule="auto"/>
        <w:rPr>
          <w:rFonts w:ascii="STIX" w:eastAsia="Times New Roman" w:hAnsi="STIX"/>
          <w:sz w:val="20"/>
          <w:szCs w:val="24"/>
        </w:rPr>
      </w:pPr>
    </w:p>
    <w:p w:rsidR="00FB38A5" w:rsidRPr="00FB38A5" w:rsidRDefault="00FB38A5" w:rsidP="00FB38A5">
      <w:pPr>
        <w:spacing w:after="0" w:line="240" w:lineRule="auto"/>
        <w:rPr>
          <w:rFonts w:ascii="STIX" w:eastAsia="Times New Roman" w:hAnsi="STIX"/>
          <w:sz w:val="20"/>
          <w:szCs w:val="24"/>
        </w:rPr>
      </w:pPr>
      <w:r w:rsidRPr="00FB38A5">
        <w:rPr>
          <w:rFonts w:ascii="STIX MathJax Main" w:eastAsia="Times New Roman" w:hAnsi="STIX MathJax Main"/>
          <w:noProof/>
          <w:sz w:val="20"/>
          <w:szCs w:val="24"/>
        </w:rPr>
        <w:drawing>
          <wp:inline distT="0" distB="0" distL="0" distR="0">
            <wp:extent cx="2973705" cy="1721485"/>
            <wp:effectExtent l="0" t="0" r="0" b="0"/>
            <wp:docPr id="15"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8"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73705" cy="1721485"/>
                    </a:xfrm>
                    <a:prstGeom prst="rect">
                      <a:avLst/>
                    </a:prstGeom>
                    <a:noFill/>
                    <a:ln>
                      <a:noFill/>
                    </a:ln>
                  </pic:spPr>
                </pic:pic>
              </a:graphicData>
            </a:graphic>
          </wp:inline>
        </w:drawing>
      </w:r>
    </w:p>
    <w:p w:rsidR="002B099C" w:rsidRPr="002B099C" w:rsidRDefault="002B099C" w:rsidP="00FB38A5">
      <w:pPr>
        <w:spacing w:after="0" w:line="240" w:lineRule="auto"/>
        <w:rPr>
          <w:rFonts w:ascii="STIX" w:eastAsia="Times New Roman" w:hAnsi="STIX"/>
          <w:sz w:val="20"/>
          <w:szCs w:val="24"/>
        </w:rPr>
      </w:pPr>
    </w:p>
    <w:sectPr w:rsidR="002B099C" w:rsidRPr="002B099C" w:rsidSect="002C1C68">
      <w:footerReference w:type="default" r:id="rId1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36" w:rsidRPr="00785436" w:rsidRDefault="00785436">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0236"/>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436"/>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2017-03-29T16:05:00Z</dcterms:created>
  <dcterms:modified xsi:type="dcterms:W3CDTF">2017-04-02T15:43:00Z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