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EA74B5">
        <w:rPr>
          <w:b/>
          <w:sz w:val="20"/>
          <w:szCs w:val="20"/>
        </w:rPr>
        <w:t>21</w:t>
      </w:r>
    </w:p>
    <w:p w:rsidR="00983C57" w:rsidRDefault="00983C57" w:rsidP="001B2705">
      <w:pPr>
        <w:pStyle w:val="Default"/>
        <w:rPr>
          <w:b/>
          <w:sz w:val="20"/>
          <w:szCs w:val="20"/>
        </w:rPr>
      </w:pPr>
    </w:p>
    <w:p w:rsidR="00EA74B5" w:rsidRPr="00EA74B5" w:rsidRDefault="00EA74B5" w:rsidP="00EA74B5">
      <w:pPr>
        <w:spacing w:after="0" w:line="240" w:lineRule="auto"/>
        <w:rPr>
          <w:rFonts w:ascii="STIX" w:eastAsia="Times New Roman" w:hAnsi="STIX"/>
          <w:sz w:val="20"/>
        </w:rPr>
      </w:pPr>
      <w:r w:rsidRPr="00EA74B5">
        <w:rPr>
          <w:rFonts w:ascii="STIX" w:eastAsia="Times New Roman" w:hAnsi="STIX"/>
          <w:b/>
          <w:sz w:val="20"/>
        </w:rPr>
        <w:t>(a)</w:t>
      </w:r>
      <w:r w:rsidRPr="00EA74B5">
        <w:rPr>
          <w:rFonts w:ascii="STIX" w:eastAsia="Times New Roman" w:hAnsi="STIX"/>
          <w:sz w:val="20"/>
        </w:rPr>
        <w:t xml:space="preserve"> The force balance can be written as</w:t>
      </w:r>
    </w:p>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rPr>
      </w:pPr>
      <w:r w:rsidRPr="00EA74B5">
        <w:rPr>
          <w:rFonts w:ascii="STIX MathJax Main" w:eastAsia="Times New Roman" w:hAnsi="STIX MathJax Main"/>
          <w:position w:val="-24"/>
          <w:sz w:val="20"/>
          <w:szCs w:val="24"/>
        </w:rPr>
        <w:object w:dxaOrig="24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2.25pt" o:ole="">
            <v:imagedata r:id="rId7" o:title=""/>
          </v:shape>
          <o:OLEObject Type="Embed" ProgID="Equation.DSMT4" ShapeID="_x0000_i1025" DrawAspect="Content" ObjectID="_1552650292" r:id="rId8"/>
        </w:object>
      </w:r>
    </w:p>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rPr>
      </w:pPr>
      <w:r w:rsidRPr="00EA74B5">
        <w:rPr>
          <w:rFonts w:ascii="STIX" w:eastAsia="Times New Roman" w:hAnsi="STIX"/>
          <w:sz w:val="20"/>
        </w:rPr>
        <w:t>Dividing by mass gives</w:t>
      </w:r>
    </w:p>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rPr>
      </w:pPr>
      <w:r w:rsidRPr="00EA74B5">
        <w:rPr>
          <w:rFonts w:ascii="STIX MathJax Main" w:eastAsia="Times New Roman" w:hAnsi="STIX MathJax Main"/>
          <w:position w:val="-24"/>
          <w:sz w:val="20"/>
          <w:szCs w:val="24"/>
        </w:rPr>
        <w:object w:dxaOrig="1880" w:dyaOrig="660">
          <v:shape id="_x0000_i1026" type="#_x0000_t75" style="width:93.75pt;height:33pt" o:ole="">
            <v:imagedata r:id="rId9" o:title=""/>
          </v:shape>
          <o:OLEObject Type="Embed" ProgID="Equation.DSMT4" ShapeID="_x0000_i1026" DrawAspect="Content" ObjectID="_1552650293" r:id="rId10"/>
        </w:object>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r>
      <w:r w:rsidRPr="00EA74B5">
        <w:rPr>
          <w:rFonts w:ascii="STIX" w:eastAsia="Times New Roman" w:hAnsi="STIX"/>
          <w:szCs w:val="24"/>
        </w:rPr>
        <w:tab/>
        <w:t>(1)</w:t>
      </w:r>
    </w:p>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rPr>
      </w:pPr>
      <w:r w:rsidRPr="00EA74B5">
        <w:rPr>
          <w:rFonts w:ascii="STIX" w:eastAsia="Times New Roman" w:hAnsi="STIX"/>
          <w:sz w:val="20"/>
        </w:rPr>
        <w:t xml:space="preserve">The mass of the sphere is </w:t>
      </w:r>
      <w:r w:rsidRPr="00EA74B5">
        <w:rPr>
          <w:rFonts w:ascii="Courier" w:eastAsia="Times New Roman" w:hAnsi="Courier"/>
          <w:i/>
          <w:sz w:val="20"/>
        </w:rPr>
        <w:sym w:font="Symbol" w:char="F072"/>
      </w:r>
      <w:r w:rsidRPr="00EA74B5">
        <w:rPr>
          <w:rFonts w:ascii="STIX" w:eastAsia="Times New Roman" w:hAnsi="STIX"/>
          <w:i/>
          <w:sz w:val="20"/>
          <w:vertAlign w:val="subscript"/>
        </w:rPr>
        <w:t>s</w:t>
      </w:r>
      <w:r w:rsidRPr="00EA74B5">
        <w:rPr>
          <w:rFonts w:ascii="STIX" w:eastAsia="Times New Roman" w:hAnsi="STIX"/>
          <w:i/>
          <w:sz w:val="20"/>
        </w:rPr>
        <w:t>V</w:t>
      </w:r>
      <w:r w:rsidRPr="00EA74B5">
        <w:rPr>
          <w:rFonts w:ascii="STIX" w:eastAsia="Times New Roman" w:hAnsi="STIX"/>
          <w:sz w:val="20"/>
        </w:rPr>
        <w:t xml:space="preserve"> where </w:t>
      </w:r>
      <w:r w:rsidRPr="00EA74B5">
        <w:rPr>
          <w:rFonts w:ascii="STIX" w:eastAsia="Times New Roman" w:hAnsi="STIX"/>
          <w:i/>
          <w:sz w:val="20"/>
        </w:rPr>
        <w:t>V</w:t>
      </w:r>
      <w:r w:rsidRPr="00EA74B5">
        <w:rPr>
          <w:rFonts w:ascii="STIX" w:eastAsia="Times New Roman" w:hAnsi="STIX"/>
          <w:sz w:val="20"/>
        </w:rPr>
        <w:t xml:space="preserve"> </w:t>
      </w:r>
      <w:r w:rsidRPr="00EA74B5">
        <w:rPr>
          <w:rFonts w:ascii="Courier" w:eastAsia="Times New Roman" w:hAnsi="Courier"/>
          <w:sz w:val="20"/>
        </w:rPr>
        <w:t xml:space="preserve">= </w:t>
      </w:r>
      <w:r w:rsidRPr="00EA74B5">
        <w:rPr>
          <w:rFonts w:ascii="STIX" w:eastAsia="Times New Roman" w:hAnsi="STIX"/>
          <w:sz w:val="20"/>
        </w:rPr>
        <w:t xml:space="preserve">volume </w:t>
      </w:r>
      <w:r w:rsidRPr="00EA74B5">
        <w:rPr>
          <w:rFonts w:ascii="Courier" w:eastAsia="Times New Roman" w:hAnsi="Courier"/>
          <w:sz w:val="20"/>
        </w:rPr>
        <w:t>(</w:t>
      </w:r>
      <w:r w:rsidRPr="00EA74B5">
        <w:rPr>
          <w:rFonts w:ascii="STIX" w:eastAsia="Times New Roman" w:hAnsi="STIX"/>
          <w:sz w:val="20"/>
        </w:rPr>
        <w:t>m</w:t>
      </w:r>
      <w:r w:rsidRPr="00EA74B5">
        <w:rPr>
          <w:rFonts w:ascii="STIX" w:eastAsia="Times New Roman" w:hAnsi="STIX"/>
          <w:sz w:val="20"/>
          <w:vertAlign w:val="superscript"/>
        </w:rPr>
        <w:t>3</w:t>
      </w:r>
      <w:r w:rsidRPr="00EA74B5">
        <w:rPr>
          <w:rFonts w:ascii="Courier" w:eastAsia="Times New Roman" w:hAnsi="Courier"/>
          <w:sz w:val="20"/>
        </w:rPr>
        <w:t>)</w:t>
      </w:r>
      <w:r w:rsidRPr="00EA74B5">
        <w:rPr>
          <w:rFonts w:ascii="STIX" w:eastAsia="Times New Roman" w:hAnsi="STIX"/>
          <w:sz w:val="20"/>
        </w:rPr>
        <w:t xml:space="preserve">. The projected area and volume of a sphere are </w:t>
      </w:r>
      <w:r w:rsidRPr="00EA74B5">
        <w:rPr>
          <w:rFonts w:ascii="Courier" w:eastAsia="Times New Roman" w:hAnsi="Courier"/>
          <w:sz w:val="20"/>
        </w:rPr>
        <w:sym w:font="Symbol" w:char="F070"/>
      </w:r>
      <w:r w:rsidRPr="00EA74B5">
        <w:rPr>
          <w:rFonts w:ascii="STIX" w:eastAsia="Times New Roman" w:hAnsi="STIX"/>
          <w:i/>
          <w:sz w:val="20"/>
        </w:rPr>
        <w:t>d</w:t>
      </w:r>
      <w:r w:rsidRPr="00EA74B5">
        <w:rPr>
          <w:rFonts w:ascii="STIX" w:eastAsia="Times New Roman" w:hAnsi="STIX"/>
          <w:sz w:val="20"/>
          <w:vertAlign w:val="superscript"/>
        </w:rPr>
        <w:t>2</w:t>
      </w:r>
      <w:r w:rsidRPr="00EA74B5">
        <w:rPr>
          <w:rFonts w:ascii="Courier" w:eastAsia="Times New Roman" w:hAnsi="Courier"/>
          <w:sz w:val="20"/>
        </w:rPr>
        <w:t>/</w:t>
      </w:r>
      <w:r w:rsidRPr="00EA74B5">
        <w:rPr>
          <w:rFonts w:ascii="STIX" w:eastAsia="Times New Roman" w:hAnsi="STIX"/>
          <w:sz w:val="20"/>
        </w:rPr>
        <w:t xml:space="preserve">4 and </w:t>
      </w:r>
      <w:r w:rsidRPr="00EA74B5">
        <w:rPr>
          <w:rFonts w:ascii="Courier" w:eastAsia="Times New Roman" w:hAnsi="Courier"/>
          <w:sz w:val="20"/>
        </w:rPr>
        <w:sym w:font="Symbol" w:char="F070"/>
      </w:r>
      <w:r w:rsidRPr="00EA74B5">
        <w:rPr>
          <w:rFonts w:ascii="STIX" w:eastAsia="Times New Roman" w:hAnsi="STIX"/>
          <w:i/>
          <w:sz w:val="20"/>
        </w:rPr>
        <w:t>d</w:t>
      </w:r>
      <w:r w:rsidRPr="00EA74B5">
        <w:rPr>
          <w:rFonts w:ascii="STIX" w:eastAsia="Times New Roman" w:hAnsi="STIX"/>
          <w:sz w:val="20"/>
          <w:vertAlign w:val="superscript"/>
        </w:rPr>
        <w:t>3</w:t>
      </w:r>
      <w:r w:rsidRPr="00EA74B5">
        <w:rPr>
          <w:rFonts w:ascii="Courier" w:eastAsia="Times New Roman" w:hAnsi="Courier"/>
          <w:sz w:val="20"/>
        </w:rPr>
        <w:t>/</w:t>
      </w:r>
      <w:r w:rsidRPr="00EA74B5">
        <w:rPr>
          <w:rFonts w:ascii="STIX" w:eastAsia="Times New Roman" w:hAnsi="STIX"/>
          <w:sz w:val="20"/>
        </w:rPr>
        <w:t>6, respectively. Substituting these relationships gives</w:t>
      </w:r>
    </w:p>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rPr>
      </w:pPr>
      <w:r w:rsidRPr="00EA74B5">
        <w:rPr>
          <w:rFonts w:ascii="STIX MathJax Main" w:eastAsia="Times New Roman" w:hAnsi="STIX MathJax Main"/>
          <w:position w:val="-60"/>
          <w:sz w:val="20"/>
          <w:szCs w:val="24"/>
        </w:rPr>
        <w:object w:dxaOrig="1840" w:dyaOrig="1320">
          <v:shape id="_x0000_i1027" type="#_x0000_t75" style="width:92.25pt;height:66pt" o:ole="">
            <v:imagedata r:id="rId11" o:title=""/>
          </v:shape>
          <o:OLEObject Type="Embed" ProgID="Equation.DSMT4" ShapeID="_x0000_i1027" DrawAspect="Content" ObjectID="_1552650294" r:id="rId12"/>
        </w:object>
      </w:r>
    </w:p>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rPr>
      </w:pPr>
      <w:r w:rsidRPr="00EA74B5">
        <w:rPr>
          <w:rFonts w:ascii="STIX" w:eastAsia="Times New Roman" w:hAnsi="STIX"/>
          <w:b/>
          <w:sz w:val="20"/>
        </w:rPr>
        <w:t>(b)</w:t>
      </w:r>
      <w:r w:rsidRPr="00EA74B5">
        <w:rPr>
          <w:rFonts w:ascii="STIX" w:eastAsia="Times New Roman" w:hAnsi="STIX"/>
          <w:sz w:val="20"/>
        </w:rPr>
        <w:t xml:space="preserve"> The first step for Euler’s method is</w:t>
      </w:r>
    </w:p>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rPr>
      </w:pPr>
      <w:r w:rsidRPr="00EA74B5">
        <w:rPr>
          <w:rFonts w:ascii="STIX MathJax Main" w:eastAsia="Times New Roman" w:hAnsi="STIX MathJax Main"/>
          <w:position w:val="-58"/>
          <w:sz w:val="20"/>
          <w:szCs w:val="24"/>
        </w:rPr>
        <w:object w:dxaOrig="4300" w:dyaOrig="1280">
          <v:shape id="_x0000_i1028" type="#_x0000_t75" style="width:215.25pt;height:63.75pt" o:ole="">
            <v:imagedata r:id="rId13" o:title=""/>
          </v:shape>
          <o:OLEObject Type="Embed" ProgID="Equation.DSMT4" ShapeID="_x0000_i1028" DrawAspect="Content" ObjectID="_1552650295" r:id="rId14"/>
        </w:object>
      </w:r>
    </w:p>
    <w:p w:rsidR="00EA74B5" w:rsidRPr="00EA74B5" w:rsidRDefault="00EA74B5" w:rsidP="00EA74B5">
      <w:pPr>
        <w:spacing w:after="0" w:line="240" w:lineRule="auto"/>
        <w:rPr>
          <w:rFonts w:ascii="STIX" w:eastAsia="Times New Roman" w:hAnsi="STIX"/>
          <w:sz w:val="20"/>
        </w:rPr>
      </w:pPr>
      <w:r w:rsidRPr="00EA74B5">
        <w:rPr>
          <w:rFonts w:ascii="STIX" w:eastAsia="Times New Roman" w:hAnsi="STIX"/>
          <w:sz w:val="20"/>
        </w:rPr>
        <w:t xml:space="preserve"> </w:t>
      </w:r>
      <w:r w:rsidRPr="00EA74B5">
        <w:rPr>
          <w:rFonts w:ascii="STIX" w:eastAsia="Times New Roman" w:hAnsi="STIX"/>
          <w:position w:val="-28"/>
          <w:sz w:val="20"/>
        </w:rPr>
        <w:object w:dxaOrig="3180" w:dyaOrig="680">
          <v:shape id="_x0000_i1029" type="#_x0000_t75" style="width:159pt;height:33.75pt" o:ole="">
            <v:imagedata r:id="rId15" o:title=""/>
          </v:shape>
          <o:OLEObject Type="Embed" ProgID="Equation.DSMT4" ShapeID="_x0000_i1029" DrawAspect="Content" ObjectID="_1552650296" r:id="rId16"/>
        </w:object>
      </w:r>
    </w:p>
    <w:p w:rsidR="00EA74B5" w:rsidRPr="00EA74B5" w:rsidRDefault="00EA74B5" w:rsidP="00EA74B5">
      <w:pPr>
        <w:spacing w:after="0" w:line="240" w:lineRule="auto"/>
        <w:rPr>
          <w:rFonts w:ascii="STIX" w:eastAsia="Times New Roman" w:hAnsi="STIX"/>
          <w:sz w:val="20"/>
        </w:rPr>
      </w:pPr>
    </w:p>
    <w:p w:rsidR="00EA74B5" w:rsidRDefault="00EA74B5" w:rsidP="00EA74B5">
      <w:pPr>
        <w:rPr>
          <w:rFonts w:ascii="STIX" w:hAnsi="STIX" w:cs="STIX"/>
          <w:i/>
          <w:sz w:val="20"/>
          <w:szCs w:val="20"/>
        </w:rPr>
        <w:sectPr w:rsidR="00EA74B5" w:rsidSect="00A24CE3">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A74B5" w:rsidRPr="00EA74B5" w:rsidRDefault="00EA74B5" w:rsidP="00EA74B5">
      <w:pPr>
        <w:spacing w:after="0" w:line="240" w:lineRule="auto"/>
        <w:rPr>
          <w:rFonts w:ascii="STIX" w:eastAsia="Times New Roman" w:hAnsi="STIX"/>
          <w:sz w:val="20"/>
        </w:rPr>
      </w:pPr>
      <w:r w:rsidRPr="00EA74B5">
        <w:rPr>
          <w:rFonts w:ascii="STIX" w:eastAsia="Times New Roman" w:hAnsi="STIX"/>
          <w:sz w:val="20"/>
        </w:rPr>
        <w:lastRenderedPageBreak/>
        <w:t>The remaining steps are shown in the following table:</w:t>
      </w:r>
    </w:p>
    <w:p w:rsidR="00EA74B5" w:rsidRPr="00EA74B5" w:rsidRDefault="00EA74B5" w:rsidP="00EA74B5">
      <w:pPr>
        <w:spacing w:after="0" w:line="240" w:lineRule="auto"/>
        <w:rPr>
          <w:rFonts w:ascii="STIX" w:eastAsia="Times New Roman" w:hAnsi="STIX"/>
          <w:sz w:val="20"/>
        </w:rPr>
      </w:pPr>
    </w:p>
    <w:tbl>
      <w:tblPr>
        <w:tblW w:w="5500" w:type="dxa"/>
        <w:tblCellMar>
          <w:left w:w="0" w:type="dxa"/>
          <w:right w:w="0" w:type="dxa"/>
        </w:tblCellMar>
        <w:tblLook w:val="0000"/>
      </w:tblPr>
      <w:tblGrid>
        <w:gridCol w:w="976"/>
        <w:gridCol w:w="1316"/>
        <w:gridCol w:w="1336"/>
        <w:gridCol w:w="976"/>
        <w:gridCol w:w="976"/>
      </w:tblGrid>
      <w:tr w:rsidR="00EA74B5" w:rsidRPr="00EA74B5" w:rsidTr="00FF7247">
        <w:trPr>
          <w:trHeight w:val="144"/>
        </w:trPr>
        <w:tc>
          <w:tcPr>
            <w:tcW w:w="960" w:type="dxa"/>
            <w:tcBorders>
              <w:top w:val="single" w:sz="12" w:space="0" w:color="auto"/>
              <w:left w:val="nil"/>
              <w:bottom w:val="single" w:sz="4" w:space="0" w:color="auto"/>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b/>
                <w:i/>
                <w:sz w:val="18"/>
                <w:szCs w:val="18"/>
              </w:rPr>
            </w:pPr>
            <w:r w:rsidRPr="00EA74B5">
              <w:rPr>
                <w:rFonts w:ascii="STIX" w:eastAsia="Times New Roman" w:hAnsi="STIX" w:cs="STIX MathJax Main"/>
                <w:b/>
                <w:i/>
                <w:sz w:val="18"/>
                <w:szCs w:val="18"/>
              </w:rPr>
              <w:t>t</w:t>
            </w:r>
          </w:p>
        </w:tc>
        <w:tc>
          <w:tcPr>
            <w:tcW w:w="1300" w:type="dxa"/>
            <w:tcBorders>
              <w:top w:val="single" w:sz="12" w:space="0" w:color="auto"/>
              <w:left w:val="nil"/>
              <w:bottom w:val="single" w:sz="4" w:space="0" w:color="auto"/>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b/>
                <w:i/>
                <w:sz w:val="18"/>
                <w:szCs w:val="18"/>
              </w:rPr>
            </w:pPr>
            <w:r w:rsidRPr="00EA74B5">
              <w:rPr>
                <w:rFonts w:ascii="STIX" w:eastAsia="Times New Roman" w:hAnsi="STIX" w:cs="STIX MathJax Main"/>
                <w:b/>
                <w:i/>
                <w:sz w:val="18"/>
                <w:szCs w:val="18"/>
              </w:rPr>
              <w:t>x</w:t>
            </w:r>
          </w:p>
        </w:tc>
        <w:tc>
          <w:tcPr>
            <w:tcW w:w="1320" w:type="dxa"/>
            <w:tcBorders>
              <w:top w:val="single" w:sz="12" w:space="0" w:color="auto"/>
              <w:left w:val="nil"/>
              <w:bottom w:val="single" w:sz="4" w:space="0" w:color="auto"/>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b/>
                <w:i/>
                <w:sz w:val="18"/>
                <w:szCs w:val="18"/>
              </w:rPr>
            </w:pPr>
            <w:r w:rsidRPr="00EA74B5">
              <w:rPr>
                <w:rFonts w:ascii="STIX" w:eastAsia="Times New Roman" w:hAnsi="STIX" w:cs="STIX MathJax Main"/>
                <w:b/>
                <w:i/>
                <w:sz w:val="18"/>
                <w:szCs w:val="18"/>
              </w:rPr>
              <w:t>v</w:t>
            </w:r>
          </w:p>
        </w:tc>
        <w:tc>
          <w:tcPr>
            <w:tcW w:w="960" w:type="dxa"/>
            <w:tcBorders>
              <w:top w:val="single" w:sz="12" w:space="0" w:color="auto"/>
              <w:left w:val="nil"/>
              <w:bottom w:val="single" w:sz="4" w:space="0" w:color="auto"/>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b/>
                <w:i/>
                <w:sz w:val="18"/>
                <w:szCs w:val="18"/>
              </w:rPr>
            </w:pPr>
            <w:r w:rsidRPr="00EA74B5">
              <w:rPr>
                <w:rFonts w:ascii="STIX" w:eastAsia="Times New Roman" w:hAnsi="STIX" w:cs="STIX MathJax Main"/>
                <w:b/>
                <w:i/>
                <w:sz w:val="18"/>
                <w:szCs w:val="18"/>
              </w:rPr>
              <w:t>dx</w:t>
            </w:r>
            <w:r w:rsidRPr="00EA74B5">
              <w:rPr>
                <w:rFonts w:ascii="Courier" w:eastAsia="Times New Roman" w:hAnsi="Courier" w:cs="STIX MathJax Main"/>
                <w:b/>
                <w:sz w:val="18"/>
                <w:szCs w:val="18"/>
              </w:rPr>
              <w:t>/</w:t>
            </w:r>
            <w:r w:rsidRPr="00EA74B5">
              <w:rPr>
                <w:rFonts w:ascii="STIX" w:eastAsia="Times New Roman" w:hAnsi="STIX" w:cs="STIX MathJax Main"/>
                <w:b/>
                <w:i/>
                <w:sz w:val="18"/>
                <w:szCs w:val="18"/>
              </w:rPr>
              <w:t>dt</w:t>
            </w:r>
          </w:p>
        </w:tc>
        <w:tc>
          <w:tcPr>
            <w:tcW w:w="960" w:type="dxa"/>
            <w:tcBorders>
              <w:top w:val="single" w:sz="12" w:space="0" w:color="auto"/>
              <w:left w:val="nil"/>
              <w:bottom w:val="single" w:sz="4" w:space="0" w:color="auto"/>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b/>
                <w:i/>
                <w:sz w:val="18"/>
                <w:szCs w:val="18"/>
              </w:rPr>
            </w:pPr>
            <w:r w:rsidRPr="00EA74B5">
              <w:rPr>
                <w:rFonts w:ascii="STIX" w:eastAsia="Times New Roman" w:hAnsi="STIX" w:cs="STIX MathJax Main"/>
                <w:b/>
                <w:i/>
                <w:sz w:val="18"/>
                <w:szCs w:val="18"/>
              </w:rPr>
              <w:t>dv</w:t>
            </w:r>
            <w:r w:rsidRPr="00EA74B5">
              <w:rPr>
                <w:rFonts w:ascii="Courier" w:eastAsia="Times New Roman" w:hAnsi="Courier" w:cs="STIX MathJax Main"/>
                <w:b/>
                <w:sz w:val="18"/>
                <w:szCs w:val="18"/>
              </w:rPr>
              <w:t>/</w:t>
            </w:r>
            <w:r w:rsidRPr="00EA74B5">
              <w:rPr>
                <w:rFonts w:ascii="STIX" w:eastAsia="Times New Roman" w:hAnsi="STIX" w:cs="STIX MathJax Main"/>
                <w:b/>
                <w:i/>
                <w:sz w:val="18"/>
                <w:szCs w:val="18"/>
              </w:rPr>
              <w:t>dt</w:t>
            </w:r>
          </w:p>
        </w:tc>
      </w:tr>
      <w:tr w:rsidR="00EA74B5" w:rsidRPr="00EA74B5" w:rsidTr="00FF7247">
        <w:trPr>
          <w:trHeight w:val="144"/>
        </w:trPr>
        <w:tc>
          <w:tcPr>
            <w:tcW w:w="0" w:type="auto"/>
            <w:tcBorders>
              <w:top w:val="single" w:sz="4" w:space="0" w:color="auto"/>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0</w:t>
            </w:r>
          </w:p>
        </w:tc>
        <w:tc>
          <w:tcPr>
            <w:tcW w:w="0" w:type="auto"/>
            <w:tcBorders>
              <w:top w:val="single" w:sz="4" w:space="0" w:color="auto"/>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100.0000</w:t>
            </w:r>
          </w:p>
        </w:tc>
        <w:tc>
          <w:tcPr>
            <w:tcW w:w="0" w:type="auto"/>
            <w:tcBorders>
              <w:top w:val="single" w:sz="4" w:space="0" w:color="auto"/>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-40.0000</w:t>
            </w:r>
          </w:p>
        </w:tc>
        <w:tc>
          <w:tcPr>
            <w:tcW w:w="0" w:type="auto"/>
            <w:tcBorders>
              <w:top w:val="single" w:sz="4" w:space="0" w:color="auto"/>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-40.0000</w:t>
            </w:r>
          </w:p>
        </w:tc>
        <w:tc>
          <w:tcPr>
            <w:tcW w:w="0" w:type="auto"/>
            <w:tcBorders>
              <w:top w:val="single" w:sz="4" w:space="0" w:color="auto"/>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10.0363</w:t>
            </w:r>
          </w:p>
        </w:tc>
      </w:tr>
      <w:tr w:rsidR="00EA74B5" w:rsidRPr="00EA74B5" w:rsidTr="00FF7247">
        <w:trPr>
          <w:trHeight w:val="144"/>
        </w:trPr>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2</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20.0000</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-19.9274</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-19.9274</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9.8662</w:t>
            </w:r>
          </w:p>
        </w:tc>
      </w:tr>
      <w:tr w:rsidR="00EA74B5" w:rsidRPr="00EA74B5" w:rsidTr="00FF7247">
        <w:trPr>
          <w:trHeight w:val="144"/>
        </w:trPr>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4</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-19.8548</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-0.1951</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-0.1951</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9.8100</w:t>
            </w:r>
          </w:p>
        </w:tc>
      </w:tr>
      <w:tr w:rsidR="00EA74B5" w:rsidRPr="00EA74B5" w:rsidTr="00FF7247">
        <w:trPr>
          <w:trHeight w:val="144"/>
        </w:trPr>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6</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-20.2450</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19.4249</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19.4249</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9.7566</w:t>
            </w:r>
          </w:p>
        </w:tc>
      </w:tr>
      <w:tr w:rsidR="00EA74B5" w:rsidRPr="00EA74B5" w:rsidTr="00FF7247">
        <w:trPr>
          <w:trHeight w:val="144"/>
        </w:trPr>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8</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18.6049</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38.9382</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38.9382</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9.5956</w:t>
            </w:r>
          </w:p>
        </w:tc>
      </w:tr>
      <w:tr w:rsidR="00EA74B5" w:rsidRPr="00EA74B5" w:rsidTr="00FF7247">
        <w:trPr>
          <w:trHeight w:val="144"/>
        </w:trPr>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10</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96.4813</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58.1293</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58.1293</w:t>
            </w:r>
          </w:p>
        </w:tc>
        <w:tc>
          <w:tcPr>
            <w:tcW w:w="0" w:type="auto"/>
            <w:tcBorders>
              <w:top w:val="nil"/>
              <w:left w:val="nil"/>
              <w:bottom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9.3321</w:t>
            </w:r>
          </w:p>
        </w:tc>
      </w:tr>
      <w:tr w:rsidR="00EA74B5" w:rsidRPr="00EA74B5" w:rsidTr="00FF7247">
        <w:trPr>
          <w:trHeight w:val="144"/>
        </w:trPr>
        <w:tc>
          <w:tcPr>
            <w:tcW w:w="0" w:type="auto"/>
            <w:tcBorders>
              <w:top w:val="nil"/>
              <w:left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12</w:t>
            </w:r>
          </w:p>
        </w:tc>
        <w:tc>
          <w:tcPr>
            <w:tcW w:w="0" w:type="auto"/>
            <w:tcBorders>
              <w:top w:val="nil"/>
              <w:left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212.7399</w:t>
            </w:r>
          </w:p>
        </w:tc>
        <w:tc>
          <w:tcPr>
            <w:tcW w:w="0" w:type="auto"/>
            <w:tcBorders>
              <w:top w:val="nil"/>
              <w:left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76.7935</w:t>
            </w:r>
          </w:p>
        </w:tc>
        <w:tc>
          <w:tcPr>
            <w:tcW w:w="0" w:type="auto"/>
            <w:tcBorders>
              <w:top w:val="nil"/>
              <w:left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76.7935</w:t>
            </w:r>
          </w:p>
        </w:tc>
        <w:tc>
          <w:tcPr>
            <w:tcW w:w="0" w:type="auto"/>
            <w:tcBorders>
              <w:top w:val="nil"/>
              <w:left w:val="nil"/>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8.9759</w:t>
            </w:r>
          </w:p>
        </w:tc>
      </w:tr>
      <w:tr w:rsidR="00EA74B5" w:rsidRPr="00EA74B5" w:rsidTr="00FF7247">
        <w:trPr>
          <w:trHeight w:val="144"/>
        </w:trPr>
        <w:tc>
          <w:tcPr>
            <w:tcW w:w="0" w:type="auto"/>
            <w:tcBorders>
              <w:top w:val="nil"/>
              <w:left w:val="nil"/>
              <w:bottom w:val="single" w:sz="12" w:space="0" w:color="auto"/>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14</w:t>
            </w:r>
          </w:p>
        </w:tc>
        <w:tc>
          <w:tcPr>
            <w:tcW w:w="0" w:type="auto"/>
            <w:tcBorders>
              <w:top w:val="nil"/>
              <w:left w:val="nil"/>
              <w:bottom w:val="single" w:sz="12" w:space="0" w:color="auto"/>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366.3269</w:t>
            </w:r>
          </w:p>
        </w:tc>
        <w:tc>
          <w:tcPr>
            <w:tcW w:w="0" w:type="auto"/>
            <w:tcBorders>
              <w:top w:val="nil"/>
              <w:left w:val="nil"/>
              <w:bottom w:val="single" w:sz="12" w:space="0" w:color="auto"/>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94.7453</w:t>
            </w:r>
          </w:p>
        </w:tc>
        <w:tc>
          <w:tcPr>
            <w:tcW w:w="0" w:type="auto"/>
            <w:tcBorders>
              <w:top w:val="nil"/>
              <w:left w:val="nil"/>
              <w:bottom w:val="single" w:sz="12" w:space="0" w:color="auto"/>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94.7453</w:t>
            </w:r>
          </w:p>
        </w:tc>
        <w:tc>
          <w:tcPr>
            <w:tcW w:w="0" w:type="auto"/>
            <w:tcBorders>
              <w:top w:val="nil"/>
              <w:left w:val="nil"/>
              <w:bottom w:val="single" w:sz="12" w:space="0" w:color="auto"/>
              <w:right w:val="nil"/>
            </w:tcBorders>
            <w:shd w:val="clear" w:color="auto" w:fill="auto"/>
            <w:noWrap/>
            <w:vAlign w:val="center"/>
          </w:tcPr>
          <w:p w:rsidR="00EA74B5" w:rsidRPr="00EA74B5" w:rsidRDefault="00EA74B5" w:rsidP="00EA74B5">
            <w:pPr>
              <w:spacing w:after="0" w:line="240" w:lineRule="auto"/>
              <w:jc w:val="center"/>
              <w:rPr>
                <w:rFonts w:ascii="STIX MathJax Main" w:eastAsia="Times New Roman" w:hAnsi="STIX MathJax Main" w:cs="STIX MathJax Main"/>
                <w:sz w:val="18"/>
                <w:szCs w:val="18"/>
              </w:rPr>
            </w:pPr>
            <w:r w:rsidRPr="00EA74B5">
              <w:rPr>
                <w:rFonts w:ascii="STIX" w:eastAsia="Times New Roman" w:hAnsi="STIX" w:cs="STIX MathJax Main"/>
                <w:sz w:val="18"/>
                <w:szCs w:val="18"/>
              </w:rPr>
              <w:t>8.5404</w:t>
            </w:r>
          </w:p>
        </w:tc>
      </w:tr>
    </w:tbl>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rPr>
      </w:pPr>
      <w:r w:rsidRPr="00EA74B5">
        <w:rPr>
          <w:rFonts w:ascii="STIX" w:eastAsia="Times New Roman" w:hAnsi="STIX"/>
          <w:b/>
          <w:sz w:val="20"/>
        </w:rPr>
        <w:t>(c)</w:t>
      </w:r>
      <w:r w:rsidRPr="00EA74B5">
        <w:rPr>
          <w:rFonts w:ascii="STIX" w:eastAsia="Times New Roman" w:hAnsi="STIX"/>
          <w:sz w:val="20"/>
        </w:rPr>
        <w:t xml:space="preserve"> The results can be graphed as (notice that we have reversed the axis for the distance, </w:t>
      </w:r>
      <w:r w:rsidRPr="00EA74B5">
        <w:rPr>
          <w:rFonts w:ascii="STIX" w:eastAsia="Times New Roman" w:hAnsi="STIX"/>
          <w:i/>
          <w:sz w:val="20"/>
        </w:rPr>
        <w:t>x</w:t>
      </w:r>
      <w:r w:rsidRPr="00EA74B5">
        <w:rPr>
          <w:rFonts w:ascii="STIX" w:eastAsia="Times New Roman" w:hAnsi="STIX"/>
          <w:sz w:val="20"/>
        </w:rPr>
        <w:t xml:space="preserve">, so that the negative elevations are upwards.  </w:t>
      </w:r>
    </w:p>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szCs w:val="24"/>
        </w:rPr>
      </w:pPr>
      <w:r w:rsidRPr="00EA74B5">
        <w:rPr>
          <w:rFonts w:ascii="STIX MathJax Main" w:eastAsia="Times New Roman" w:hAnsi="STIX MathJax Main"/>
          <w:noProof/>
          <w:sz w:val="20"/>
          <w:szCs w:val="24"/>
        </w:rPr>
        <w:drawing>
          <wp:inline distT="0" distB="0" distL="0" distR="0">
            <wp:extent cx="3773170" cy="1836420"/>
            <wp:effectExtent l="0" t="0" r="0" b="0"/>
            <wp:docPr id="18"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8"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73170" cy="1836420"/>
                    </a:xfrm>
                    <a:prstGeom prst="rect">
                      <a:avLst/>
                    </a:prstGeom>
                    <a:noFill/>
                    <a:ln>
                      <a:noFill/>
                    </a:ln>
                  </pic:spPr>
                </pic:pic>
              </a:graphicData>
            </a:graphic>
          </wp:inline>
        </w:drawing>
      </w:r>
    </w:p>
    <w:p w:rsidR="00EA74B5" w:rsidRPr="00EA74B5" w:rsidRDefault="00EA74B5" w:rsidP="00EA74B5">
      <w:pPr>
        <w:spacing w:after="0" w:line="240" w:lineRule="auto"/>
        <w:rPr>
          <w:rFonts w:ascii="STIX" w:eastAsia="Times New Roman" w:hAnsi="STIX"/>
          <w:sz w:val="20"/>
        </w:rPr>
      </w:pPr>
      <w:r w:rsidRPr="00EA74B5">
        <w:rPr>
          <w:rFonts w:ascii="STIX MathJax Main" w:eastAsia="Times New Roman" w:hAnsi="STIX MathJax Main"/>
          <w:noProof/>
          <w:sz w:val="20"/>
          <w:szCs w:val="24"/>
        </w:rPr>
        <w:drawing>
          <wp:inline distT="0" distB="0" distL="0" distR="0">
            <wp:extent cx="3773170" cy="1882775"/>
            <wp:effectExtent l="0" t="0" r="0" b="3175"/>
            <wp:docPr id="19"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9"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73170" cy="1882775"/>
                    </a:xfrm>
                    <a:prstGeom prst="rect">
                      <a:avLst/>
                    </a:prstGeom>
                    <a:noFill/>
                    <a:ln>
                      <a:noFill/>
                    </a:ln>
                  </pic:spPr>
                </pic:pic>
              </a:graphicData>
            </a:graphic>
          </wp:inline>
        </w:drawing>
      </w:r>
    </w:p>
    <w:p w:rsidR="00EA74B5" w:rsidRPr="00EA74B5" w:rsidRDefault="00EA74B5" w:rsidP="00EA74B5">
      <w:pPr>
        <w:spacing w:after="0" w:line="240" w:lineRule="auto"/>
        <w:rPr>
          <w:rFonts w:ascii="STIX" w:eastAsia="Times New Roman" w:hAnsi="STIX"/>
          <w:sz w:val="20"/>
        </w:rPr>
      </w:pPr>
    </w:p>
    <w:p w:rsidR="00EA74B5" w:rsidRDefault="00EA74B5" w:rsidP="00EA74B5">
      <w:pPr>
        <w:rPr>
          <w:rFonts w:ascii="STIX" w:hAnsi="STIX" w:cs="STIX"/>
          <w:i/>
          <w:sz w:val="20"/>
          <w:szCs w:val="20"/>
        </w:rPr>
        <w:sectPr w:rsidR="00EA74B5" w:rsidSect="00A24CE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A74B5" w:rsidRPr="00EA74B5" w:rsidRDefault="00EA74B5" w:rsidP="00EA74B5">
      <w:pPr>
        <w:spacing w:after="0" w:line="240" w:lineRule="auto"/>
        <w:rPr>
          <w:rFonts w:ascii="STIX" w:eastAsia="Times New Roman" w:hAnsi="STIX"/>
          <w:sz w:val="20"/>
        </w:rPr>
      </w:pPr>
      <w:r w:rsidRPr="00EA74B5">
        <w:rPr>
          <w:rFonts w:ascii="STIX" w:eastAsia="Times New Roman" w:hAnsi="STIX"/>
          <w:b/>
          <w:sz w:val="20"/>
        </w:rPr>
        <w:lastRenderedPageBreak/>
        <w:t>(d)</w:t>
      </w:r>
      <w:r w:rsidRPr="00EA74B5">
        <w:rPr>
          <w:rFonts w:ascii="STIX" w:eastAsia="Times New Roman" w:hAnsi="STIX"/>
          <w:sz w:val="20"/>
        </w:rPr>
        <w:t xml:space="preserve"> Inspecting the differential equation for velocity (Eq. 1) indicates that the bulk drag coefficient is</w:t>
      </w:r>
    </w:p>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rPr>
      </w:pPr>
      <w:r w:rsidRPr="00EA74B5">
        <w:rPr>
          <w:rFonts w:ascii="STIX MathJax Main" w:eastAsia="Times New Roman" w:hAnsi="STIX MathJax Main"/>
          <w:position w:val="-24"/>
          <w:sz w:val="20"/>
          <w:szCs w:val="24"/>
        </w:rPr>
        <w:object w:dxaOrig="1080" w:dyaOrig="660">
          <v:shape id="_x0000_i1030" type="#_x0000_t75" style="width:54pt;height:33pt" o:ole="">
            <v:imagedata r:id="rId20" o:title=""/>
          </v:shape>
          <o:OLEObject Type="Embed" ProgID="Equation.DSMT4" ShapeID="_x0000_i1030" DrawAspect="Content" ObjectID="_1552650297" r:id="rId21"/>
        </w:object>
      </w:r>
    </w:p>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rPr>
      </w:pPr>
      <w:r w:rsidRPr="00EA74B5">
        <w:rPr>
          <w:rFonts w:ascii="STIX" w:eastAsia="Times New Roman" w:hAnsi="STIX"/>
          <w:sz w:val="20"/>
        </w:rPr>
        <w:t xml:space="preserve">Therefore, for this case, because </w:t>
      </w:r>
      <w:r w:rsidRPr="00EA74B5">
        <w:rPr>
          <w:rFonts w:ascii="STIX" w:eastAsia="Times New Roman" w:hAnsi="STIX"/>
          <w:i/>
          <w:sz w:val="20"/>
        </w:rPr>
        <w:t>A</w:t>
      </w:r>
      <w:r w:rsidRPr="00EA74B5">
        <w:rPr>
          <w:rFonts w:ascii="STIX" w:eastAsia="Times New Roman" w:hAnsi="STIX"/>
          <w:sz w:val="20"/>
        </w:rPr>
        <w:t xml:space="preserve"> </w:t>
      </w:r>
      <w:r w:rsidRPr="00EA74B5">
        <w:rPr>
          <w:rFonts w:ascii="Courier" w:eastAsia="Times New Roman" w:hAnsi="Courier"/>
          <w:sz w:val="20"/>
        </w:rPr>
        <w:t>=</w:t>
      </w:r>
      <w:r w:rsidRPr="00EA74B5">
        <w:rPr>
          <w:rFonts w:ascii="STIX" w:eastAsia="Times New Roman" w:hAnsi="STIX"/>
          <w:sz w:val="20"/>
        </w:rPr>
        <w:t xml:space="preserve"> </w:t>
      </w:r>
      <w:r w:rsidRPr="00EA74B5">
        <w:rPr>
          <w:rFonts w:ascii="Courier" w:eastAsia="Times New Roman" w:hAnsi="Courier"/>
          <w:sz w:val="20"/>
        </w:rPr>
        <w:sym w:font="Symbol" w:char="F070"/>
      </w:r>
      <w:r w:rsidRPr="00EA74B5">
        <w:rPr>
          <w:rFonts w:ascii="Courier" w:eastAsia="Times New Roman" w:hAnsi="Courier"/>
          <w:sz w:val="20"/>
        </w:rPr>
        <w:t>(</w:t>
      </w:r>
      <w:r w:rsidRPr="00EA74B5">
        <w:rPr>
          <w:rFonts w:ascii="STIX" w:eastAsia="Times New Roman" w:hAnsi="STIX"/>
          <w:sz w:val="20"/>
        </w:rPr>
        <w:t>1.2</w:t>
      </w:r>
      <w:r w:rsidRPr="00EA74B5">
        <w:rPr>
          <w:rFonts w:ascii="Courier" w:eastAsia="Times New Roman" w:hAnsi="Courier"/>
          <w:sz w:val="20"/>
        </w:rPr>
        <w:t>)</w:t>
      </w:r>
      <w:r w:rsidRPr="00EA74B5">
        <w:rPr>
          <w:rFonts w:ascii="STIX" w:eastAsia="Times New Roman" w:hAnsi="STIX"/>
          <w:sz w:val="20"/>
          <w:vertAlign w:val="superscript"/>
        </w:rPr>
        <w:t>2</w:t>
      </w:r>
      <w:r w:rsidRPr="00EA74B5">
        <w:rPr>
          <w:rFonts w:ascii="Courier" w:eastAsia="Times New Roman" w:hAnsi="Courier"/>
          <w:sz w:val="20"/>
        </w:rPr>
        <w:t>/</w:t>
      </w:r>
      <w:r w:rsidRPr="00EA74B5">
        <w:rPr>
          <w:rFonts w:ascii="STIX" w:eastAsia="Times New Roman" w:hAnsi="STIX"/>
          <w:sz w:val="20"/>
        </w:rPr>
        <w:t xml:space="preserve">4 </w:t>
      </w:r>
      <w:r w:rsidRPr="00EA74B5">
        <w:rPr>
          <w:rFonts w:ascii="Courier" w:eastAsia="Times New Roman" w:hAnsi="Courier"/>
          <w:sz w:val="20"/>
        </w:rPr>
        <w:t>=</w:t>
      </w:r>
      <w:r w:rsidRPr="00EA74B5">
        <w:rPr>
          <w:rFonts w:ascii="STIX" w:eastAsia="Times New Roman" w:hAnsi="STIX"/>
          <w:sz w:val="20"/>
        </w:rPr>
        <w:t xml:space="preserve"> 1.131 m</w:t>
      </w:r>
      <w:r w:rsidRPr="00EA74B5">
        <w:rPr>
          <w:rFonts w:ascii="STIX" w:eastAsia="Times New Roman" w:hAnsi="STIX"/>
          <w:sz w:val="20"/>
          <w:vertAlign w:val="superscript"/>
        </w:rPr>
        <w:t>2</w:t>
      </w:r>
      <w:r w:rsidRPr="00EA74B5">
        <w:rPr>
          <w:rFonts w:ascii="STIX" w:eastAsia="Times New Roman" w:hAnsi="STIX"/>
          <w:sz w:val="20"/>
        </w:rPr>
        <w:t>, the bulk drag coefficient is</w:t>
      </w:r>
    </w:p>
    <w:p w:rsidR="00EA74B5" w:rsidRPr="00EA74B5" w:rsidRDefault="00EA74B5" w:rsidP="00EA74B5">
      <w:pPr>
        <w:spacing w:after="0" w:line="240" w:lineRule="auto"/>
        <w:rPr>
          <w:rFonts w:ascii="STIX" w:eastAsia="Times New Roman" w:hAnsi="STIX"/>
          <w:sz w:val="20"/>
        </w:rPr>
      </w:pPr>
    </w:p>
    <w:p w:rsidR="00EA74B5" w:rsidRPr="00EA74B5" w:rsidRDefault="00EA74B5" w:rsidP="00EA74B5">
      <w:pPr>
        <w:spacing w:after="0" w:line="240" w:lineRule="auto"/>
        <w:rPr>
          <w:rFonts w:ascii="STIX" w:eastAsia="Times New Roman" w:hAnsi="STIX"/>
          <w:sz w:val="20"/>
        </w:rPr>
      </w:pPr>
      <w:r w:rsidRPr="00EA74B5">
        <w:rPr>
          <w:rFonts w:ascii="STIX MathJax Main" w:eastAsia="Times New Roman" w:hAnsi="STIX MathJax Main"/>
          <w:position w:val="-24"/>
          <w:sz w:val="20"/>
          <w:szCs w:val="24"/>
        </w:rPr>
        <w:object w:dxaOrig="3060" w:dyaOrig="639">
          <v:shape id="_x0000_i1031" type="#_x0000_t75" style="width:153pt;height:32.25pt" o:ole="">
            <v:imagedata r:id="rId22" o:title=""/>
          </v:shape>
          <o:OLEObject Type="Embed" ProgID="Equation.DSMT4" ShapeID="_x0000_i1031" DrawAspect="Content" ObjectID="_1552650298" r:id="rId23"/>
        </w:object>
      </w:r>
    </w:p>
    <w:p w:rsidR="002B099C" w:rsidRPr="002B099C" w:rsidRDefault="002B099C" w:rsidP="00EA74B5">
      <w:pPr>
        <w:spacing w:after="0" w:line="240" w:lineRule="auto"/>
        <w:rPr>
          <w:rFonts w:ascii="STIX" w:eastAsia="Times New Roman" w:hAnsi="STIX"/>
          <w:sz w:val="20"/>
          <w:szCs w:val="24"/>
        </w:rPr>
      </w:pPr>
    </w:p>
    <w:sectPr w:rsidR="002B099C" w:rsidRPr="002B099C" w:rsidSect="002C1C68">
      <w:footerReference w:type="default" r:id="rId2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00B" w:rsidRPr="003E000B" w:rsidRDefault="003E000B">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000B"/>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305"/>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192</Words>
  <Characters>1097</Characters>
  <Application>Microsoft Office Word</Application>
  <DocSecurity>0</DocSecurity>
  <Lines>9</Lines>
  <Paragraphs>2</Paragraphs>
  <ScaleCrop>false</ScaleCrop>
  <Company/>
  <LinksUpToDate>false</LinksUpToDate>
  <CharactersWithSpaces>1287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2017-03-29T16:07:00Z</dcterms:created>
  <dcterms:modified xsi:type="dcterms:W3CDTF">2017-04-02T15:44:00Z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