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9D1AED">
        <w:rPr>
          <w:b/>
          <w:sz w:val="20"/>
          <w:szCs w:val="20"/>
        </w:rPr>
        <w:t>25</w:t>
      </w:r>
    </w:p>
    <w:p w:rsidR="00983C57" w:rsidRDefault="00983C57" w:rsidP="001B2705">
      <w:pPr>
        <w:pStyle w:val="Default"/>
        <w:rPr>
          <w:b/>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[Note that students can easily get the underlying equations for this problem off the web]. The total volume of a right circular cone can be calculated as</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24"/>
          <w:sz w:val="20"/>
          <w:szCs w:val="20"/>
        </w:rPr>
        <w:object w:dxaOrig="12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65" type="#_x0000_t75" style="width:60pt;height:32.25pt" o:ole="">
            <v:imagedata r:id="rId7" o:title=""/>
          </v:shape>
          <o:OLEObject Type="Embed" ProgID="Equation.DSMT4" ShapeID="_x0000_i3165" DrawAspect="Content" ObjectID="_1552288351" r:id="rId8"/>
        </w:objec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The volume of the frustum below the earth’s surface can be computed as</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24"/>
          <w:sz w:val="20"/>
          <w:szCs w:val="20"/>
        </w:rPr>
        <w:object w:dxaOrig="2780" w:dyaOrig="639">
          <v:shape id="_x0000_i3166" type="#_x0000_t75" style="width:138.75pt;height:32.25pt" o:ole="">
            <v:imagedata r:id="rId9" o:title=""/>
          </v:shape>
          <o:OLEObject Type="Embed" ProgID="Equation.DSMT4" ShapeID="_x0000_i3166" DrawAspect="Content" ObjectID="_1552288352" r:id="rId10"/>
        </w:objec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Archimedes’ principle says that, at steady state, the downward force of the whole cone must be balanced by the upward buoyancy force of the below ground frustum,</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24"/>
          <w:sz w:val="20"/>
          <w:szCs w:val="20"/>
        </w:rPr>
        <w:object w:dxaOrig="3879" w:dyaOrig="639">
          <v:shape id="_x0000_i3167" type="#_x0000_t75" style="width:194.25pt;height:32.25pt" o:ole="">
            <v:imagedata r:id="rId11" o:title=""/>
          </v:shape>
          <o:OLEObject Type="Embed" ProgID="Equation.DSMT4" ShapeID="_x0000_i3167" DrawAspect="Content" ObjectID="_1552288353" r:id="rId12"/>
        </w:object>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r>
      <w:r w:rsidRPr="009D1AED">
        <w:rPr>
          <w:rFonts w:ascii="STIX" w:eastAsia="Times New Roman" w:hAnsi="STIX"/>
          <w:sz w:val="20"/>
          <w:szCs w:val="20"/>
        </w:rPr>
        <w:tab/>
        <w:t>(1)</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 xml:space="preserve">Before proceeding we have too many unknowns: </w:t>
      </w:r>
      <w:r w:rsidRPr="009D1AED">
        <w:rPr>
          <w:rFonts w:ascii="STIX" w:eastAsia="Times New Roman" w:hAnsi="STIX"/>
          <w:i/>
          <w:sz w:val="20"/>
          <w:szCs w:val="20"/>
        </w:rPr>
        <w:t>r</w:t>
      </w:r>
      <w:r w:rsidRPr="009D1AED">
        <w:rPr>
          <w:rFonts w:ascii="STIX" w:eastAsia="Times New Roman" w:hAnsi="STIX"/>
          <w:sz w:val="20"/>
          <w:szCs w:val="20"/>
          <w:vertAlign w:val="subscript"/>
        </w:rPr>
        <w:t>1</w:t>
      </w:r>
      <w:r w:rsidRPr="009D1AED">
        <w:rPr>
          <w:rFonts w:ascii="STIX" w:eastAsia="Times New Roman" w:hAnsi="STIX"/>
          <w:sz w:val="20"/>
          <w:szCs w:val="20"/>
        </w:rPr>
        <w:t xml:space="preserve"> and </w:t>
      </w:r>
      <w:r w:rsidRPr="009D1AED">
        <w:rPr>
          <w:rFonts w:ascii="STIX" w:eastAsia="Times New Roman" w:hAnsi="STIX"/>
          <w:i/>
          <w:sz w:val="20"/>
          <w:szCs w:val="20"/>
        </w:rPr>
        <w:t>h</w:t>
      </w:r>
      <w:r w:rsidRPr="009D1AED">
        <w:rPr>
          <w:rFonts w:ascii="STIX" w:eastAsia="Times New Roman" w:hAnsi="STIX"/>
          <w:sz w:val="20"/>
          <w:szCs w:val="20"/>
          <w:vertAlign w:val="subscript"/>
        </w:rPr>
        <w:t>1</w:t>
      </w:r>
      <w:r w:rsidRPr="009D1AED">
        <w:rPr>
          <w:rFonts w:ascii="STIX" w:eastAsia="Times New Roman" w:hAnsi="STIX"/>
          <w:sz w:val="20"/>
          <w:szCs w:val="20"/>
        </w:rPr>
        <w:t xml:space="preserve">. So before solving, we must eliminate </w:t>
      </w:r>
      <w:r w:rsidRPr="009D1AED">
        <w:rPr>
          <w:rFonts w:ascii="STIX" w:eastAsia="Times New Roman" w:hAnsi="STIX"/>
          <w:i/>
          <w:sz w:val="20"/>
          <w:szCs w:val="20"/>
        </w:rPr>
        <w:t>r</w:t>
      </w:r>
      <w:r w:rsidRPr="009D1AED">
        <w:rPr>
          <w:rFonts w:ascii="STIX" w:eastAsia="Times New Roman" w:hAnsi="STIX"/>
          <w:sz w:val="20"/>
          <w:szCs w:val="20"/>
          <w:vertAlign w:val="subscript"/>
        </w:rPr>
        <w:t>1</w:t>
      </w:r>
      <w:r w:rsidRPr="009D1AED">
        <w:rPr>
          <w:rFonts w:ascii="STIX" w:eastAsia="Times New Roman" w:hAnsi="STIX"/>
          <w:sz w:val="20"/>
          <w:szCs w:val="20"/>
        </w:rPr>
        <w:t xml:space="preserve"> by recognizing that using similar triangles (</w:t>
      </w:r>
      <w:r w:rsidRPr="009D1AED">
        <w:rPr>
          <w:rFonts w:ascii="STIX" w:eastAsia="Times New Roman" w:hAnsi="STIX"/>
          <w:i/>
          <w:sz w:val="20"/>
          <w:szCs w:val="20"/>
        </w:rPr>
        <w:t>r</w:t>
      </w:r>
      <w:r w:rsidRPr="009D1AED">
        <w:rPr>
          <w:rFonts w:ascii="STIX" w:eastAsia="Times New Roman" w:hAnsi="STIX"/>
          <w:sz w:val="20"/>
          <w:szCs w:val="20"/>
          <w:vertAlign w:val="subscript"/>
        </w:rPr>
        <w:t>1</w:t>
      </w:r>
      <w:r w:rsidRPr="009D1AED">
        <w:rPr>
          <w:rFonts w:ascii="Courier" w:eastAsia="Times New Roman" w:hAnsi="Courier"/>
          <w:sz w:val="20"/>
          <w:szCs w:val="20"/>
        </w:rPr>
        <w:t>/</w:t>
      </w:r>
      <w:r w:rsidRPr="009D1AED">
        <w:rPr>
          <w:rFonts w:ascii="STIX" w:eastAsia="Times New Roman" w:hAnsi="STIX"/>
          <w:i/>
          <w:sz w:val="20"/>
          <w:szCs w:val="20"/>
        </w:rPr>
        <w:t>h</w:t>
      </w:r>
      <w:r w:rsidRPr="009D1AED">
        <w:rPr>
          <w:rFonts w:ascii="STIX" w:eastAsia="Times New Roman" w:hAnsi="STIX"/>
          <w:sz w:val="20"/>
          <w:szCs w:val="20"/>
          <w:vertAlign w:val="subscript"/>
        </w:rPr>
        <w:t>1</w:t>
      </w:r>
      <w:r w:rsidRPr="009D1AED">
        <w:rPr>
          <w:rFonts w:ascii="STIX" w:eastAsia="Times New Roman" w:hAnsi="STIX"/>
          <w:sz w:val="20"/>
          <w:szCs w:val="20"/>
        </w:rPr>
        <w:t xml:space="preserve"> </w:t>
      </w:r>
      <w:r w:rsidRPr="009D1AED">
        <w:rPr>
          <w:rFonts w:ascii="Courier" w:eastAsia="Times New Roman" w:hAnsi="Courier"/>
          <w:sz w:val="20"/>
          <w:szCs w:val="20"/>
        </w:rPr>
        <w:t>=</w:t>
      </w:r>
      <w:r w:rsidRPr="009D1AED">
        <w:rPr>
          <w:rFonts w:ascii="STIX" w:eastAsia="Times New Roman" w:hAnsi="STIX"/>
          <w:sz w:val="20"/>
          <w:szCs w:val="20"/>
        </w:rPr>
        <w:t xml:space="preserve"> </w:t>
      </w:r>
      <w:r w:rsidRPr="009D1AED">
        <w:rPr>
          <w:rFonts w:ascii="STIX" w:eastAsia="Times New Roman" w:hAnsi="STIX"/>
          <w:i/>
          <w:sz w:val="20"/>
          <w:szCs w:val="20"/>
        </w:rPr>
        <w:t>r</w:t>
      </w:r>
      <w:r w:rsidRPr="009D1AED">
        <w:rPr>
          <w:rFonts w:ascii="STIX" w:eastAsia="Times New Roman" w:hAnsi="STIX"/>
          <w:sz w:val="20"/>
          <w:szCs w:val="20"/>
          <w:vertAlign w:val="subscript"/>
        </w:rPr>
        <w:t>2</w:t>
      </w:r>
      <w:r w:rsidRPr="009D1AED">
        <w:rPr>
          <w:rFonts w:ascii="Courier" w:eastAsia="Times New Roman" w:hAnsi="Courier"/>
          <w:sz w:val="20"/>
          <w:szCs w:val="20"/>
        </w:rPr>
        <w:t>/</w:t>
      </w:r>
      <w:r w:rsidRPr="009D1AED">
        <w:rPr>
          <w:rFonts w:ascii="STIX" w:eastAsia="Times New Roman" w:hAnsi="STIX"/>
          <w:i/>
          <w:sz w:val="20"/>
          <w:szCs w:val="20"/>
        </w:rPr>
        <w:t>H</w:t>
      </w:r>
      <w:r w:rsidRPr="009D1AED">
        <w:rPr>
          <w:rFonts w:ascii="STIX" w:eastAsia="Times New Roman" w:hAnsi="STIX"/>
          <w:sz w:val="20"/>
          <w:szCs w:val="20"/>
        </w:rPr>
        <w:t>)</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24"/>
          <w:sz w:val="20"/>
          <w:szCs w:val="20"/>
        </w:rPr>
        <w:object w:dxaOrig="880" w:dyaOrig="639">
          <v:shape id="_x0000_i3168" type="#_x0000_t75" style="width:44.25pt;height:32.25pt" o:ole="">
            <v:imagedata r:id="rId13" o:title=""/>
          </v:shape>
          <o:OLEObject Type="Embed" ProgID="Equation.DSMT4" ShapeID="_x0000_i3168" DrawAspect="Content" ObjectID="_1552288354" r:id="rId14"/>
        </w:objec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 xml:space="preserve">which can be substituted into Eq. (1) (and cancelling the </w:t>
      </w:r>
      <w:r w:rsidRPr="009D1AED">
        <w:rPr>
          <w:rFonts w:ascii="STIX" w:eastAsia="Times New Roman" w:hAnsi="STIX"/>
          <w:i/>
          <w:sz w:val="20"/>
          <w:szCs w:val="20"/>
        </w:rPr>
        <w:t>g</w:t>
      </w:r>
      <w:r w:rsidRPr="009D1AED">
        <w:rPr>
          <w:rFonts w:ascii="STIX" w:eastAsia="Times New Roman" w:hAnsi="STIX"/>
          <w:sz w:val="20"/>
          <w:szCs w:val="20"/>
        </w:rPr>
        <w:t>’s)</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38"/>
          <w:sz w:val="20"/>
          <w:szCs w:val="20"/>
        </w:rPr>
        <w:object w:dxaOrig="4540" w:dyaOrig="880">
          <v:shape id="_x0000_i3169" type="#_x0000_t75" style="width:227.25pt;height:44.25pt" o:ole="">
            <v:imagedata r:id="rId15" o:title=""/>
          </v:shape>
          <o:OLEObject Type="Embed" ProgID="Equation.DSMT4" ShapeID="_x0000_i3169" DrawAspect="Content" ObjectID="_1552288355" r:id="rId16"/>
        </w:objec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 xml:space="preserve">Therefore, the equation now has only 1 unknown: </w:t>
      </w:r>
      <w:r w:rsidRPr="009D1AED">
        <w:rPr>
          <w:rFonts w:ascii="STIX" w:eastAsia="Times New Roman" w:hAnsi="STIX"/>
          <w:i/>
          <w:sz w:val="20"/>
          <w:szCs w:val="20"/>
        </w:rPr>
        <w:t>h</w:t>
      </w:r>
      <w:r w:rsidRPr="009D1AED">
        <w:rPr>
          <w:rFonts w:ascii="STIX" w:eastAsia="Times New Roman" w:hAnsi="STIX"/>
          <w:sz w:val="20"/>
          <w:szCs w:val="20"/>
          <w:vertAlign w:val="subscript"/>
        </w:rPr>
        <w:t>1</w:t>
      </w:r>
      <w:r w:rsidRPr="009D1AED">
        <w:rPr>
          <w:rFonts w:ascii="STIX" w:eastAsia="Times New Roman" w:hAnsi="STIX"/>
          <w:sz w:val="20"/>
          <w:szCs w:val="20"/>
        </w:rPr>
        <w:t>, and the steady-state force balance can be written as</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38"/>
          <w:sz w:val="20"/>
          <w:szCs w:val="20"/>
        </w:rPr>
        <w:object w:dxaOrig="4880" w:dyaOrig="880">
          <v:shape id="_x0000_i3170" type="#_x0000_t75" style="width:243.75pt;height:44.25pt" o:ole="">
            <v:imagedata r:id="rId17" o:title=""/>
          </v:shape>
          <o:OLEObject Type="Embed" ProgID="Equation.DSMT4" ShapeID="_x0000_i3170" DrawAspect="Content" ObjectID="_1552288356" r:id="rId18"/>
        </w:object>
      </w:r>
    </w:p>
    <w:p w:rsidR="009D1AED" w:rsidRPr="009D1AED" w:rsidRDefault="009D1AED" w:rsidP="009D1AED">
      <w:pPr>
        <w:spacing w:after="0" w:line="240" w:lineRule="auto"/>
        <w:rPr>
          <w:rFonts w:ascii="STIX" w:eastAsia="Times New Roman" w:hAnsi="STIX"/>
          <w:sz w:val="20"/>
          <w:szCs w:val="20"/>
        </w:rPr>
      </w:pPr>
    </w:p>
    <w:p w:rsidR="009D1AED" w:rsidRDefault="009D1AED" w:rsidP="009D1AED">
      <w:pPr>
        <w:spacing w:after="0" w:line="240" w:lineRule="auto"/>
        <w:rPr>
          <w:rFonts w:ascii="STIX" w:hAnsi="STIX" w:cs="STIX"/>
          <w:i/>
          <w:sz w:val="20"/>
          <w:szCs w:val="20"/>
        </w:rPr>
        <w:sectPr w:rsidR="009D1AED"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Cancelling common terms gives</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38"/>
          <w:sz w:val="20"/>
          <w:szCs w:val="20"/>
        </w:rPr>
        <w:object w:dxaOrig="4620" w:dyaOrig="880">
          <v:shape id="_x0000_i3171" type="#_x0000_t75" style="width:231pt;height:44.25pt" o:ole="">
            <v:imagedata r:id="rId20" o:title=""/>
          </v:shape>
          <o:OLEObject Type="Embed" ProgID="Equation.DSMT4" ShapeID="_x0000_i3171" DrawAspect="Content" ObjectID="_1552288357" r:id="rId21"/>
        </w:objec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w:eastAsia="Times New Roman" w:hAnsi="STIX"/>
          <w:sz w:val="20"/>
          <w:szCs w:val="20"/>
        </w:rPr>
        <w:t>and collecting terms yields</w:t>
      </w:r>
    </w:p>
    <w:p w:rsidR="009D1AED" w:rsidRPr="009D1AED" w:rsidRDefault="009D1AED" w:rsidP="009D1AED">
      <w:pPr>
        <w:spacing w:after="0" w:line="240" w:lineRule="auto"/>
        <w:rPr>
          <w:rFonts w:ascii="STIX" w:eastAsia="Times New Roman" w:hAnsi="STIX"/>
          <w:sz w:val="20"/>
          <w:szCs w:val="20"/>
        </w:rPr>
      </w:pPr>
    </w:p>
    <w:p w:rsidR="009D1AED" w:rsidRPr="009D1AED" w:rsidRDefault="009D1AED" w:rsidP="009D1AED">
      <w:pPr>
        <w:spacing w:after="0" w:line="240" w:lineRule="auto"/>
        <w:rPr>
          <w:rFonts w:ascii="STIX" w:eastAsia="Times New Roman" w:hAnsi="STIX"/>
          <w:sz w:val="20"/>
          <w:szCs w:val="20"/>
        </w:rPr>
      </w:pPr>
      <w:r w:rsidRPr="009D1AED">
        <w:rPr>
          <w:rFonts w:ascii="STIX MathJax Main" w:eastAsia="Times New Roman" w:hAnsi="STIX MathJax Main"/>
          <w:position w:val="-34"/>
          <w:sz w:val="20"/>
          <w:szCs w:val="20"/>
        </w:rPr>
        <w:object w:dxaOrig="5539" w:dyaOrig="800">
          <v:shape id="_x0000_i3172" type="#_x0000_t75" style="width:276.75pt;height:39.75pt" o:ole="">
            <v:imagedata r:id="rId22" o:title=""/>
          </v:shape>
          <o:OLEObject Type="Embed" ProgID="Equation.DSMT4" ShapeID="_x0000_i3172" DrawAspect="Content" ObjectID="_1552288358" r:id="rId23"/>
        </w:object>
      </w:r>
    </w:p>
    <w:p w:rsidR="009D1AED" w:rsidRPr="009D1AED" w:rsidRDefault="009D1AED" w:rsidP="009D1AED">
      <w:pPr>
        <w:spacing w:after="0" w:line="240" w:lineRule="auto"/>
        <w:jc w:val="center"/>
        <w:rPr>
          <w:rFonts w:ascii="Arial" w:eastAsia="Times New Roman" w:hAnsi="Arial" w:cs="Arial"/>
          <w:b/>
          <w:sz w:val="20"/>
          <w:szCs w:val="20"/>
        </w:rPr>
      </w:pPr>
    </w:p>
    <w:p w:rsidR="002B099C" w:rsidRPr="002B099C" w:rsidRDefault="002B099C" w:rsidP="009D1AED">
      <w:pPr>
        <w:spacing w:after="0" w:line="240" w:lineRule="auto"/>
        <w:rPr>
          <w:rFonts w:ascii="STIX" w:eastAsia="Times New Roman" w:hAnsi="STIX"/>
          <w:sz w:val="20"/>
          <w:szCs w:val="24"/>
        </w:rPr>
      </w:pPr>
    </w:p>
    <w:sectPr w:rsidR="002B099C" w:rsidRPr="002B099C"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159</Words>
  <Characters>909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2017-03-29T16:11:00Z</dcterms:created>
  <dcterms:modified xsi:type="dcterms:W3CDTF">2017-03-29T16:11:00Z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