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F54AF4" w:rsidRDefault="00512B6C" w:rsidP="00F54AF4">
      <w:pPr>
        <w:pStyle w:val="Default"/>
        <w:rPr>
          <w:b/>
        </w:rPr>
      </w:pPr>
      <w:r w:rsidRPr="00F54AF4">
        <w:rPr>
          <w:b/>
        </w:rPr>
        <w:t xml:space="preserve">Problem </w:t>
      </w:r>
      <w:r w:rsidR="00001A4E" w:rsidRPr="00F54AF4">
        <w:rPr>
          <w:b/>
        </w:rPr>
        <w:t>2.</w:t>
      </w:r>
      <w:r w:rsidR="00F54AF4" w:rsidRPr="00F54AF4">
        <w:rPr>
          <w:b/>
        </w:rPr>
        <w:t>22</w:t>
      </w:r>
    </w:p>
    <w:p w:rsidR="00F54AF4" w:rsidRPr="00F54AF4" w:rsidRDefault="00F54AF4" w:rsidP="00F54AF4">
      <w:pPr>
        <w:pStyle w:val="Default"/>
      </w:pPr>
    </w:p>
    <w:p w:rsidR="00F54AF4" w:rsidRPr="00F54AF4" w:rsidRDefault="00F54AF4" w:rsidP="00F54AF4">
      <w:pPr>
        <w:pStyle w:val="Pa73"/>
        <w:rPr>
          <w:color w:val="211D1E"/>
          <w:szCs w:val="18"/>
        </w:rPr>
      </w:pPr>
      <w:r w:rsidRPr="00F54AF4">
        <w:rPr>
          <w:color w:val="211D1E"/>
          <w:szCs w:val="18"/>
        </w:rPr>
        <w:t xml:space="preserve">The following parametric equations generate a </w:t>
      </w:r>
      <w:r w:rsidRPr="00F54AF4">
        <w:rPr>
          <w:i/>
          <w:iCs/>
          <w:color w:val="211D1E"/>
          <w:szCs w:val="18"/>
        </w:rPr>
        <w:t>conical helix</w:t>
      </w:r>
      <w:r w:rsidRPr="00F54AF4">
        <w:rPr>
          <w:color w:val="211D1E"/>
          <w:szCs w:val="18"/>
        </w:rPr>
        <w:t>.</w:t>
      </w:r>
    </w:p>
    <w:p w:rsidR="00F54AF4" w:rsidRPr="00F54AF4" w:rsidRDefault="00F54AF4" w:rsidP="00F54AF4">
      <w:pPr>
        <w:pStyle w:val="Default"/>
        <w:spacing w:before="120" w:line="180" w:lineRule="atLeast"/>
        <w:ind w:left="240"/>
        <w:rPr>
          <w:color w:val="211D1E"/>
          <w:szCs w:val="18"/>
        </w:rPr>
      </w:pPr>
      <w:r w:rsidRPr="00F54AF4">
        <w:rPr>
          <w:i/>
          <w:iCs/>
          <w:color w:val="211D1E"/>
          <w:szCs w:val="18"/>
        </w:rPr>
        <w:t xml:space="preserve">x </w:t>
      </w:r>
      <w:r w:rsidRPr="00F54AF4">
        <w:rPr>
          <w:color w:val="211D1E"/>
          <w:szCs w:val="18"/>
        </w:rPr>
        <w:t xml:space="preserve">= </w:t>
      </w:r>
      <w:r w:rsidRPr="00F54AF4">
        <w:rPr>
          <w:i/>
          <w:iCs/>
          <w:color w:val="211D1E"/>
          <w:szCs w:val="18"/>
        </w:rPr>
        <w:t xml:space="preserve">t </w:t>
      </w:r>
      <w:r w:rsidRPr="00F54AF4">
        <w:rPr>
          <w:color w:val="211D1E"/>
          <w:szCs w:val="18"/>
        </w:rPr>
        <w:t>cos(6</w:t>
      </w:r>
      <w:r w:rsidRPr="00F54AF4">
        <w:rPr>
          <w:i/>
          <w:iCs/>
          <w:color w:val="211D1E"/>
          <w:szCs w:val="18"/>
        </w:rPr>
        <w:t>t</w:t>
      </w:r>
      <w:r w:rsidRPr="00F54AF4">
        <w:rPr>
          <w:color w:val="211D1E"/>
          <w:szCs w:val="18"/>
        </w:rPr>
        <w:t>)</w:t>
      </w:r>
    </w:p>
    <w:p w:rsidR="00F54AF4" w:rsidRPr="00F54AF4" w:rsidRDefault="00F54AF4" w:rsidP="00F54AF4">
      <w:pPr>
        <w:pStyle w:val="Default"/>
        <w:spacing w:line="180" w:lineRule="atLeast"/>
        <w:ind w:left="240"/>
        <w:rPr>
          <w:color w:val="211D1E"/>
          <w:szCs w:val="18"/>
        </w:rPr>
      </w:pPr>
      <w:r w:rsidRPr="00F54AF4">
        <w:rPr>
          <w:i/>
          <w:iCs/>
          <w:color w:val="211D1E"/>
          <w:szCs w:val="18"/>
        </w:rPr>
        <w:t xml:space="preserve">y </w:t>
      </w:r>
      <w:r w:rsidRPr="00F54AF4">
        <w:rPr>
          <w:color w:val="211D1E"/>
          <w:szCs w:val="18"/>
        </w:rPr>
        <w:t xml:space="preserve">= </w:t>
      </w:r>
      <w:r w:rsidRPr="00F54AF4">
        <w:rPr>
          <w:i/>
          <w:iCs/>
          <w:color w:val="211D1E"/>
          <w:szCs w:val="18"/>
        </w:rPr>
        <w:t xml:space="preserve">t </w:t>
      </w:r>
      <w:r w:rsidRPr="00F54AF4">
        <w:rPr>
          <w:color w:val="211D1E"/>
          <w:szCs w:val="18"/>
        </w:rPr>
        <w:t>sin(6</w:t>
      </w:r>
      <w:r w:rsidRPr="00F54AF4">
        <w:rPr>
          <w:i/>
          <w:iCs/>
          <w:color w:val="211D1E"/>
          <w:szCs w:val="18"/>
        </w:rPr>
        <w:t>t</w:t>
      </w:r>
      <w:r w:rsidRPr="00F54AF4">
        <w:rPr>
          <w:color w:val="211D1E"/>
          <w:szCs w:val="18"/>
        </w:rPr>
        <w:t>)</w:t>
      </w:r>
    </w:p>
    <w:p w:rsidR="00F54AF4" w:rsidRPr="00F54AF4" w:rsidRDefault="00F54AF4" w:rsidP="00F54AF4">
      <w:pPr>
        <w:pStyle w:val="Default"/>
        <w:spacing w:after="120" w:line="180" w:lineRule="atLeast"/>
        <w:ind w:left="240"/>
        <w:rPr>
          <w:color w:val="211D1E"/>
          <w:szCs w:val="18"/>
        </w:rPr>
      </w:pPr>
      <w:r w:rsidRPr="00F54AF4">
        <w:rPr>
          <w:i/>
          <w:iCs/>
          <w:color w:val="211D1E"/>
          <w:szCs w:val="18"/>
        </w:rPr>
        <w:t xml:space="preserve">z </w:t>
      </w:r>
      <w:r w:rsidRPr="00F54AF4">
        <w:rPr>
          <w:color w:val="211D1E"/>
          <w:szCs w:val="18"/>
        </w:rPr>
        <w:t xml:space="preserve">= </w:t>
      </w:r>
      <w:r w:rsidRPr="00F54AF4">
        <w:rPr>
          <w:i/>
          <w:iCs/>
          <w:color w:val="211D1E"/>
          <w:szCs w:val="18"/>
        </w:rPr>
        <w:t>t</w:t>
      </w:r>
    </w:p>
    <w:p w:rsidR="009C2848" w:rsidRPr="00F54AF4" w:rsidRDefault="00F54AF4" w:rsidP="00F54AF4">
      <w:pPr>
        <w:pStyle w:val="Default"/>
        <w:rPr>
          <w:b/>
        </w:rPr>
      </w:pPr>
      <w:r w:rsidRPr="00F54AF4">
        <w:rPr>
          <w:color w:val="211D1E"/>
          <w:szCs w:val="18"/>
        </w:rPr>
        <w:t xml:space="preserve">Compute values of </w:t>
      </w:r>
      <w:r w:rsidRPr="00F54AF4">
        <w:rPr>
          <w:i/>
          <w:iCs/>
          <w:color w:val="211D1E"/>
          <w:szCs w:val="18"/>
        </w:rPr>
        <w:t>x</w:t>
      </w:r>
      <w:r w:rsidRPr="00F54AF4">
        <w:rPr>
          <w:color w:val="211D1E"/>
          <w:szCs w:val="18"/>
        </w:rPr>
        <w:t xml:space="preserve">, </w:t>
      </w:r>
      <w:r w:rsidRPr="00F54AF4">
        <w:rPr>
          <w:i/>
          <w:iCs/>
          <w:color w:val="211D1E"/>
          <w:szCs w:val="18"/>
        </w:rPr>
        <w:t>y</w:t>
      </w:r>
      <w:r w:rsidRPr="00F54AF4">
        <w:rPr>
          <w:color w:val="211D1E"/>
          <w:szCs w:val="18"/>
        </w:rPr>
        <w:t xml:space="preserve">, and </w:t>
      </w:r>
      <w:r w:rsidRPr="00F54AF4">
        <w:rPr>
          <w:i/>
          <w:iCs/>
          <w:color w:val="211D1E"/>
          <w:szCs w:val="18"/>
        </w:rPr>
        <w:t xml:space="preserve">z </w:t>
      </w:r>
      <w:r w:rsidRPr="00F54AF4">
        <w:rPr>
          <w:color w:val="211D1E"/>
          <w:szCs w:val="18"/>
        </w:rPr>
        <w:t xml:space="preserve">for </w:t>
      </w:r>
      <w:r w:rsidRPr="00F54AF4">
        <w:rPr>
          <w:i/>
          <w:iCs/>
          <w:color w:val="211D1E"/>
          <w:szCs w:val="18"/>
        </w:rPr>
        <w:t xml:space="preserve">t </w:t>
      </w:r>
      <w:r w:rsidRPr="00F54AF4">
        <w:rPr>
          <w:color w:val="211D1E"/>
          <w:szCs w:val="18"/>
        </w:rPr>
        <w:t>= 0 to 6</w:t>
      </w:r>
      <w:r w:rsidRPr="00F54AF4">
        <w:rPr>
          <w:i/>
          <w:iCs/>
          <w:color w:val="211D1E"/>
          <w:szCs w:val="18"/>
        </w:rPr>
        <w:t xml:space="preserve">π </w:t>
      </w:r>
      <w:r w:rsidRPr="00F54AF4">
        <w:rPr>
          <w:color w:val="211D1E"/>
          <w:szCs w:val="18"/>
        </w:rPr>
        <w:t>with Δ</w:t>
      </w:r>
      <w:r w:rsidRPr="00F54AF4">
        <w:rPr>
          <w:i/>
          <w:iCs/>
          <w:color w:val="211D1E"/>
          <w:szCs w:val="18"/>
        </w:rPr>
        <w:t xml:space="preserve">t </w:t>
      </w:r>
      <w:r w:rsidRPr="00F54AF4">
        <w:rPr>
          <w:color w:val="211D1E"/>
          <w:szCs w:val="18"/>
        </w:rPr>
        <w:t xml:space="preserve">= </w:t>
      </w:r>
      <w:r w:rsidRPr="00F54AF4">
        <w:rPr>
          <w:i/>
          <w:iCs/>
          <w:color w:val="211D1E"/>
          <w:szCs w:val="18"/>
        </w:rPr>
        <w:t>π</w:t>
      </w:r>
      <w:r w:rsidRPr="00F54AF4">
        <w:rPr>
          <w:color w:val="211D1E"/>
          <w:szCs w:val="18"/>
        </w:rPr>
        <w:t xml:space="preserve">/64. Use </w:t>
      </w:r>
      <w:r w:rsidRPr="00F54AF4">
        <w:rPr>
          <w:rStyle w:val="A6"/>
          <w:rFonts w:ascii="STIX" w:hAnsi="STIX" w:cs="STIX"/>
          <w:sz w:val="24"/>
        </w:rPr>
        <w:t xml:space="preserve">subplot </w:t>
      </w:r>
      <w:r w:rsidRPr="00F54AF4">
        <w:rPr>
          <w:color w:val="211D1E"/>
          <w:szCs w:val="18"/>
        </w:rPr>
        <w:t>to generate a two-dimensional line plot (red solid line) of (</w:t>
      </w:r>
      <w:r w:rsidRPr="00F54AF4">
        <w:rPr>
          <w:i/>
          <w:iCs/>
          <w:color w:val="211D1E"/>
          <w:szCs w:val="18"/>
        </w:rPr>
        <w:t>x</w:t>
      </w:r>
      <w:r w:rsidRPr="00F54AF4">
        <w:rPr>
          <w:color w:val="211D1E"/>
          <w:szCs w:val="18"/>
        </w:rPr>
        <w:t xml:space="preserve">, </w:t>
      </w:r>
      <w:r w:rsidRPr="00F54AF4">
        <w:rPr>
          <w:i/>
          <w:iCs/>
          <w:color w:val="211D1E"/>
          <w:szCs w:val="18"/>
        </w:rPr>
        <w:t>y</w:t>
      </w:r>
      <w:r w:rsidRPr="00F54AF4">
        <w:rPr>
          <w:color w:val="211D1E"/>
          <w:szCs w:val="18"/>
        </w:rPr>
        <w:t>) in the top pane and a three-dimensional line plot (cyan solid line) of (</w:t>
      </w:r>
      <w:r w:rsidRPr="00F54AF4">
        <w:rPr>
          <w:i/>
          <w:iCs/>
          <w:color w:val="211D1E"/>
          <w:szCs w:val="18"/>
        </w:rPr>
        <w:t>x</w:t>
      </w:r>
      <w:r w:rsidRPr="00F54AF4">
        <w:rPr>
          <w:color w:val="211D1E"/>
          <w:szCs w:val="18"/>
        </w:rPr>
        <w:t xml:space="preserve">, </w:t>
      </w:r>
      <w:r w:rsidRPr="00F54AF4">
        <w:rPr>
          <w:i/>
          <w:iCs/>
          <w:color w:val="211D1E"/>
          <w:szCs w:val="18"/>
        </w:rPr>
        <w:t>y</w:t>
      </w:r>
      <w:r w:rsidRPr="00F54AF4">
        <w:rPr>
          <w:color w:val="211D1E"/>
          <w:szCs w:val="18"/>
        </w:rPr>
        <w:t xml:space="preserve">, </w:t>
      </w:r>
      <w:r w:rsidRPr="00F54AF4">
        <w:rPr>
          <w:i/>
          <w:iCs/>
          <w:color w:val="211D1E"/>
          <w:szCs w:val="18"/>
        </w:rPr>
        <w:t>z</w:t>
      </w:r>
      <w:r w:rsidRPr="00F54AF4">
        <w:rPr>
          <w:color w:val="211D1E"/>
          <w:szCs w:val="18"/>
        </w:rPr>
        <w:t>) in the bottom pane. Label the axes for both plots.</w:t>
      </w:r>
    </w:p>
    <w:sectPr w:rsidR="009C2848" w:rsidRPr="00F54AF4"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57</Words>
  <Characters>325</Characters>
  <Application>Microsoft Office Word</Application>
  <DocSecurity>0</DocSecurity>
  <Lines>2</Lines>
  <Paragraphs>1</Paragraphs>
  <ScaleCrop>false</ScaleCrop>
  <Company/>
  <LinksUpToDate>false</LinksUpToDate>
  <CharactersWithSpaces>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2017-03-13T20:14:00Z</dcterms:created>
  <dcterms:modified xsi:type="dcterms:W3CDTF">2017-03-13T20:14:00Z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