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A960E7" w:rsidRDefault="00512B6C" w:rsidP="00A960E7">
      <w:pPr>
        <w:pStyle w:val="Default"/>
        <w:rPr>
          <w:b/>
        </w:rPr>
      </w:pPr>
      <w:r w:rsidRPr="00A960E7">
        <w:rPr>
          <w:b/>
        </w:rPr>
        <w:t xml:space="preserve">Problem </w:t>
      </w:r>
      <w:r w:rsidR="00001A4E" w:rsidRPr="00A960E7">
        <w:rPr>
          <w:b/>
        </w:rPr>
        <w:t>2.</w:t>
      </w:r>
      <w:r w:rsidR="00A960E7" w:rsidRPr="00A960E7">
        <w:rPr>
          <w:b/>
        </w:rPr>
        <w:t>26</w:t>
      </w:r>
    </w:p>
    <w:p w:rsidR="00A960E7" w:rsidRPr="00A960E7" w:rsidRDefault="00A960E7" w:rsidP="00A960E7">
      <w:pPr>
        <w:pStyle w:val="Default"/>
      </w:pPr>
    </w:p>
    <w:p w:rsidR="00A960E7" w:rsidRPr="00A960E7" w:rsidRDefault="00A960E7" w:rsidP="00A960E7">
      <w:pPr>
        <w:pStyle w:val="Pa73"/>
        <w:rPr>
          <w:color w:val="211D1E"/>
          <w:szCs w:val="18"/>
        </w:rPr>
      </w:pPr>
      <w:r w:rsidRPr="00A960E7">
        <w:rPr>
          <w:color w:val="211D1E"/>
          <w:szCs w:val="18"/>
        </w:rPr>
        <w:t>Figure P2.26</w:t>
      </w:r>
      <w:r w:rsidRPr="00A960E7">
        <w:rPr>
          <w:i/>
          <w:iCs/>
          <w:color w:val="211D1E"/>
          <w:szCs w:val="18"/>
        </w:rPr>
        <w:t xml:space="preserve">a </w:t>
      </w:r>
      <w:r w:rsidRPr="00A960E7">
        <w:rPr>
          <w:color w:val="211D1E"/>
          <w:szCs w:val="18"/>
        </w:rPr>
        <w:t>shows a uniform beam subject to a lin</w:t>
      </w:r>
      <w:r w:rsidRPr="00A960E7">
        <w:rPr>
          <w:color w:val="211D1E"/>
          <w:szCs w:val="18"/>
        </w:rPr>
        <w:softHyphen/>
        <w:t>early increasing distributed load. As depicted in Fig. P2.26</w:t>
      </w:r>
      <w:r w:rsidRPr="00A960E7">
        <w:rPr>
          <w:i/>
          <w:iCs/>
          <w:color w:val="211D1E"/>
          <w:szCs w:val="18"/>
        </w:rPr>
        <w:t>b</w:t>
      </w:r>
      <w:r w:rsidRPr="00A960E7">
        <w:rPr>
          <w:color w:val="211D1E"/>
          <w:szCs w:val="18"/>
        </w:rPr>
        <w:t xml:space="preserve">, deflection </w:t>
      </w:r>
      <w:r w:rsidRPr="00A960E7">
        <w:rPr>
          <w:i/>
          <w:iCs/>
          <w:color w:val="211D1E"/>
          <w:szCs w:val="18"/>
        </w:rPr>
        <w:t xml:space="preserve">y </w:t>
      </w:r>
      <w:r w:rsidRPr="00A960E7">
        <w:rPr>
          <w:color w:val="211D1E"/>
          <w:szCs w:val="18"/>
        </w:rPr>
        <w:t xml:space="preserve">(m) can be computed with </w:t>
      </w:r>
    </w:p>
    <w:p w:rsidR="00A960E7" w:rsidRPr="00A960E7" w:rsidRDefault="00A960E7" w:rsidP="00A960E7">
      <w:pPr>
        <w:pStyle w:val="Default"/>
        <w:spacing w:before="200" w:after="220" w:line="180" w:lineRule="atLeast"/>
        <w:ind w:left="240"/>
        <w:jc w:val="center"/>
        <w:rPr>
          <w:color w:val="211D1E"/>
          <w:szCs w:val="18"/>
        </w:rPr>
      </w:pPr>
      <w:r>
        <w:rPr>
          <w:i/>
          <w:iCs/>
          <w:color w:val="211D1E"/>
          <w:szCs w:val="18"/>
        </w:rPr>
        <w:t xml:space="preserve"> </w:t>
      </w:r>
      <w:r w:rsidRPr="00A960E7">
        <w:rPr>
          <w:i/>
          <w:iCs/>
          <w:color w:val="211D1E"/>
          <w:position w:val="-24"/>
          <w:szCs w:val="18"/>
        </w:rPr>
        <w:object w:dxaOrig="32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33pt" o:ole="">
            <v:imagedata r:id="rId7" o:title=""/>
          </v:shape>
          <o:OLEObject Type="Embed" ProgID="Equation.DSMT4" ShapeID="_x0000_i1025" DrawAspect="Content" ObjectID="_1552651361" r:id="rId8"/>
        </w:object>
      </w:r>
      <w:r>
        <w:rPr>
          <w:i/>
          <w:iCs/>
          <w:color w:val="211D1E"/>
          <w:szCs w:val="18"/>
        </w:rPr>
        <w:t xml:space="preserve"> </w:t>
      </w:r>
    </w:p>
    <w:p w:rsidR="00A960E7" w:rsidRPr="00A960E7" w:rsidRDefault="00A960E7" w:rsidP="00A960E7">
      <w:pPr>
        <w:pStyle w:val="Pa73"/>
        <w:rPr>
          <w:color w:val="211D1E"/>
          <w:szCs w:val="18"/>
        </w:rPr>
      </w:pPr>
      <w:r w:rsidRPr="00A960E7">
        <w:rPr>
          <w:color w:val="211D1E"/>
          <w:szCs w:val="18"/>
        </w:rPr>
        <w:t xml:space="preserve">where </w:t>
      </w:r>
      <w:r w:rsidRPr="00A960E7">
        <w:rPr>
          <w:i/>
          <w:iCs/>
          <w:color w:val="211D1E"/>
          <w:szCs w:val="18"/>
        </w:rPr>
        <w:t xml:space="preserve">E </w:t>
      </w:r>
      <w:r w:rsidRPr="00A960E7">
        <w:rPr>
          <w:color w:val="211D1E"/>
          <w:szCs w:val="18"/>
        </w:rPr>
        <w:t xml:space="preserve">= the modulus of elasticity and </w:t>
      </w:r>
      <w:r w:rsidRPr="00A960E7">
        <w:rPr>
          <w:i/>
          <w:iCs/>
          <w:color w:val="211D1E"/>
          <w:szCs w:val="18"/>
        </w:rPr>
        <w:t xml:space="preserve">I </w:t>
      </w:r>
      <w:r w:rsidRPr="00A960E7">
        <w:rPr>
          <w:color w:val="211D1E"/>
          <w:szCs w:val="18"/>
        </w:rPr>
        <w:t>= the moment of inertia (m</w:t>
      </w:r>
      <w:r w:rsidRPr="00A960E7">
        <w:rPr>
          <w:rStyle w:val="A45"/>
          <w:sz w:val="32"/>
          <w:vertAlign w:val="superscript"/>
        </w:rPr>
        <w:t>4</w:t>
      </w:r>
      <w:r w:rsidRPr="00A960E7">
        <w:rPr>
          <w:color w:val="211D1E"/>
          <w:szCs w:val="18"/>
        </w:rPr>
        <w:t xml:space="preserve">). Employ this equation and calculus to generate MATLAB plots of the following quantities versus distance along the beam: </w:t>
      </w:r>
    </w:p>
    <w:p w:rsidR="00A960E7" w:rsidRPr="00A960E7" w:rsidRDefault="00A960E7" w:rsidP="00A960E7">
      <w:pPr>
        <w:pStyle w:val="Default"/>
        <w:rPr>
          <w:color w:val="211D1E"/>
          <w:szCs w:val="18"/>
        </w:rPr>
      </w:pPr>
      <w:r w:rsidRPr="00A960E7">
        <w:rPr>
          <w:rStyle w:val="A34"/>
          <w:sz w:val="24"/>
        </w:rPr>
        <w:t xml:space="preserve">(a) </w:t>
      </w:r>
      <w:r w:rsidRPr="00A960E7">
        <w:rPr>
          <w:color w:val="211D1E"/>
          <w:szCs w:val="18"/>
        </w:rPr>
        <w:t>displacement (</w:t>
      </w:r>
      <w:r w:rsidRPr="00A960E7">
        <w:rPr>
          <w:i/>
          <w:iCs/>
          <w:color w:val="211D1E"/>
          <w:szCs w:val="18"/>
        </w:rPr>
        <w:t>y</w:t>
      </w:r>
      <w:r w:rsidRPr="00A960E7">
        <w:rPr>
          <w:color w:val="211D1E"/>
          <w:szCs w:val="18"/>
        </w:rPr>
        <w:t xml:space="preserve">), </w:t>
      </w:r>
    </w:p>
    <w:p w:rsidR="00A960E7" w:rsidRPr="00A960E7" w:rsidRDefault="00A960E7" w:rsidP="00A960E7">
      <w:pPr>
        <w:pStyle w:val="Default"/>
        <w:rPr>
          <w:color w:val="211D1E"/>
          <w:szCs w:val="18"/>
        </w:rPr>
      </w:pPr>
      <w:r w:rsidRPr="00A960E7">
        <w:rPr>
          <w:rStyle w:val="A34"/>
          <w:sz w:val="24"/>
        </w:rPr>
        <w:t xml:space="preserve">(b) </w:t>
      </w:r>
      <w:r w:rsidRPr="00A960E7">
        <w:rPr>
          <w:color w:val="211D1E"/>
          <w:szCs w:val="18"/>
        </w:rPr>
        <w:t>slope [</w:t>
      </w:r>
      <w:r w:rsidRPr="00A960E7">
        <w:rPr>
          <w:i/>
          <w:color w:val="211D1E"/>
          <w:szCs w:val="18"/>
        </w:rPr>
        <w:t>θ</w:t>
      </w:r>
      <w:r w:rsidRPr="00A960E7">
        <w:rPr>
          <w:color w:val="211D1E"/>
          <w:szCs w:val="18"/>
        </w:rPr>
        <w:t xml:space="preserve"> (</w:t>
      </w:r>
      <w:r w:rsidRPr="00A960E7">
        <w:rPr>
          <w:i/>
          <w:iCs/>
          <w:color w:val="211D1E"/>
          <w:szCs w:val="18"/>
        </w:rPr>
        <w:t>x</w:t>
      </w:r>
      <w:r w:rsidRPr="00A960E7">
        <w:rPr>
          <w:color w:val="211D1E"/>
          <w:szCs w:val="18"/>
        </w:rPr>
        <w:t xml:space="preserve">) = </w:t>
      </w:r>
      <w:r w:rsidRPr="00A960E7">
        <w:rPr>
          <w:i/>
          <w:iCs/>
          <w:color w:val="211D1E"/>
          <w:szCs w:val="18"/>
        </w:rPr>
        <w:t>dy</w:t>
      </w:r>
      <w:r w:rsidRPr="00A960E7">
        <w:rPr>
          <w:color w:val="211D1E"/>
          <w:szCs w:val="18"/>
        </w:rPr>
        <w:t>/</w:t>
      </w:r>
      <w:r w:rsidRPr="00A960E7">
        <w:rPr>
          <w:i/>
          <w:iCs/>
          <w:color w:val="211D1E"/>
          <w:szCs w:val="18"/>
        </w:rPr>
        <w:t>dx</w:t>
      </w:r>
      <w:r w:rsidRPr="00A960E7">
        <w:rPr>
          <w:color w:val="211D1E"/>
          <w:szCs w:val="18"/>
        </w:rPr>
        <w:t xml:space="preserve">], </w:t>
      </w:r>
    </w:p>
    <w:p w:rsidR="00A960E7" w:rsidRPr="00A960E7" w:rsidRDefault="00A960E7" w:rsidP="00A960E7">
      <w:pPr>
        <w:pStyle w:val="Default"/>
        <w:rPr>
          <w:color w:val="211D1E"/>
          <w:szCs w:val="18"/>
        </w:rPr>
      </w:pPr>
      <w:r w:rsidRPr="00A960E7">
        <w:rPr>
          <w:rStyle w:val="A34"/>
          <w:sz w:val="24"/>
        </w:rPr>
        <w:t xml:space="preserve">(c) </w:t>
      </w:r>
      <w:r w:rsidRPr="00A960E7">
        <w:rPr>
          <w:color w:val="211D1E"/>
          <w:szCs w:val="18"/>
        </w:rPr>
        <w:t>moment [</w:t>
      </w:r>
      <w:r w:rsidRPr="00A960E7">
        <w:rPr>
          <w:i/>
          <w:iCs/>
          <w:color w:val="211D1E"/>
          <w:szCs w:val="18"/>
        </w:rPr>
        <w:t>M</w:t>
      </w:r>
      <w:r w:rsidRPr="00A960E7">
        <w:rPr>
          <w:color w:val="211D1E"/>
          <w:szCs w:val="18"/>
        </w:rPr>
        <w:t>(</w:t>
      </w:r>
      <w:r w:rsidRPr="00A960E7">
        <w:rPr>
          <w:i/>
          <w:iCs/>
          <w:color w:val="211D1E"/>
          <w:szCs w:val="18"/>
        </w:rPr>
        <w:t>x</w:t>
      </w:r>
      <w:r w:rsidRPr="00A960E7">
        <w:rPr>
          <w:color w:val="211D1E"/>
          <w:szCs w:val="18"/>
        </w:rPr>
        <w:t xml:space="preserve">) = </w:t>
      </w:r>
      <w:r w:rsidRPr="00A960E7">
        <w:rPr>
          <w:i/>
          <w:iCs/>
          <w:color w:val="211D1E"/>
          <w:szCs w:val="18"/>
        </w:rPr>
        <w:t>EId</w:t>
      </w:r>
      <w:r w:rsidRPr="00A960E7">
        <w:rPr>
          <w:rStyle w:val="A45"/>
          <w:sz w:val="32"/>
          <w:vertAlign w:val="superscript"/>
        </w:rPr>
        <w:t>2</w:t>
      </w:r>
      <w:r w:rsidRPr="00A960E7">
        <w:rPr>
          <w:rStyle w:val="A45"/>
          <w:sz w:val="24"/>
        </w:rPr>
        <w:t xml:space="preserve"> </w:t>
      </w:r>
      <w:r w:rsidRPr="00A960E7">
        <w:rPr>
          <w:i/>
          <w:iCs/>
          <w:color w:val="211D1E"/>
          <w:szCs w:val="18"/>
        </w:rPr>
        <w:t>y</w:t>
      </w:r>
      <w:r w:rsidRPr="00A960E7">
        <w:rPr>
          <w:color w:val="211D1E"/>
          <w:szCs w:val="18"/>
        </w:rPr>
        <w:t>/</w:t>
      </w:r>
      <w:r w:rsidRPr="00A960E7">
        <w:rPr>
          <w:i/>
          <w:iCs/>
          <w:color w:val="211D1E"/>
          <w:szCs w:val="18"/>
        </w:rPr>
        <w:t>dx</w:t>
      </w:r>
      <w:r w:rsidRPr="00A960E7">
        <w:rPr>
          <w:rStyle w:val="A45"/>
          <w:sz w:val="32"/>
          <w:vertAlign w:val="superscript"/>
        </w:rPr>
        <w:t>2</w:t>
      </w:r>
      <w:r w:rsidRPr="00A960E7">
        <w:rPr>
          <w:color w:val="211D1E"/>
          <w:szCs w:val="18"/>
        </w:rPr>
        <w:t xml:space="preserve">], </w:t>
      </w:r>
    </w:p>
    <w:p w:rsidR="00A960E7" w:rsidRPr="00A960E7" w:rsidRDefault="00A960E7" w:rsidP="00A960E7">
      <w:pPr>
        <w:pStyle w:val="Default"/>
        <w:rPr>
          <w:color w:val="211D1E"/>
          <w:szCs w:val="18"/>
        </w:rPr>
      </w:pPr>
      <w:r w:rsidRPr="00A960E7">
        <w:rPr>
          <w:rStyle w:val="A34"/>
          <w:sz w:val="24"/>
        </w:rPr>
        <w:t xml:space="preserve">(d) </w:t>
      </w:r>
      <w:r w:rsidRPr="00A960E7">
        <w:rPr>
          <w:color w:val="211D1E"/>
          <w:szCs w:val="18"/>
        </w:rPr>
        <w:t>shear [</w:t>
      </w:r>
      <w:r w:rsidRPr="00A960E7">
        <w:rPr>
          <w:i/>
          <w:iCs/>
          <w:color w:val="211D1E"/>
          <w:szCs w:val="18"/>
        </w:rPr>
        <w:t>V</w:t>
      </w:r>
      <w:r w:rsidRPr="00A960E7">
        <w:rPr>
          <w:color w:val="211D1E"/>
          <w:szCs w:val="18"/>
        </w:rPr>
        <w:t>(</w:t>
      </w:r>
      <w:r w:rsidRPr="00A960E7">
        <w:rPr>
          <w:i/>
          <w:iCs/>
          <w:color w:val="211D1E"/>
          <w:szCs w:val="18"/>
        </w:rPr>
        <w:t>x</w:t>
      </w:r>
      <w:r w:rsidRPr="00A960E7">
        <w:rPr>
          <w:color w:val="211D1E"/>
          <w:szCs w:val="18"/>
        </w:rPr>
        <w:t xml:space="preserve">) = </w:t>
      </w:r>
      <w:r w:rsidRPr="00A960E7">
        <w:rPr>
          <w:i/>
          <w:iCs/>
          <w:color w:val="211D1E"/>
          <w:szCs w:val="18"/>
        </w:rPr>
        <w:t>EId</w:t>
      </w:r>
      <w:r w:rsidRPr="00A960E7">
        <w:rPr>
          <w:rStyle w:val="A45"/>
          <w:sz w:val="32"/>
          <w:vertAlign w:val="superscript"/>
        </w:rPr>
        <w:t>3</w:t>
      </w:r>
      <w:r w:rsidRPr="00A960E7">
        <w:rPr>
          <w:rStyle w:val="A45"/>
          <w:sz w:val="24"/>
        </w:rPr>
        <w:t xml:space="preserve"> </w:t>
      </w:r>
      <w:r w:rsidRPr="00A960E7">
        <w:rPr>
          <w:i/>
          <w:iCs/>
          <w:color w:val="211D1E"/>
          <w:szCs w:val="18"/>
        </w:rPr>
        <w:t>y</w:t>
      </w:r>
      <w:r w:rsidRPr="00A960E7">
        <w:rPr>
          <w:color w:val="211D1E"/>
          <w:szCs w:val="18"/>
        </w:rPr>
        <w:t>/</w:t>
      </w:r>
      <w:r w:rsidRPr="00A960E7">
        <w:rPr>
          <w:i/>
          <w:iCs/>
          <w:color w:val="211D1E"/>
          <w:szCs w:val="18"/>
        </w:rPr>
        <w:t>dx</w:t>
      </w:r>
      <w:r w:rsidRPr="00A960E7">
        <w:rPr>
          <w:rStyle w:val="A45"/>
          <w:sz w:val="32"/>
          <w:vertAlign w:val="superscript"/>
        </w:rPr>
        <w:t>3</w:t>
      </w:r>
      <w:r w:rsidRPr="00A960E7">
        <w:rPr>
          <w:color w:val="211D1E"/>
          <w:szCs w:val="18"/>
        </w:rPr>
        <w:t xml:space="preserve">], and </w:t>
      </w:r>
    </w:p>
    <w:p w:rsidR="00A960E7" w:rsidRPr="00A960E7" w:rsidRDefault="00A960E7" w:rsidP="00A960E7">
      <w:pPr>
        <w:pStyle w:val="Default"/>
        <w:rPr>
          <w:color w:val="211D1E"/>
          <w:szCs w:val="18"/>
        </w:rPr>
      </w:pPr>
      <w:r w:rsidRPr="00A960E7">
        <w:rPr>
          <w:rStyle w:val="A34"/>
          <w:sz w:val="24"/>
        </w:rPr>
        <w:t xml:space="preserve">(e) </w:t>
      </w:r>
      <w:r w:rsidRPr="00A960E7">
        <w:rPr>
          <w:color w:val="211D1E"/>
          <w:szCs w:val="18"/>
        </w:rPr>
        <w:t>loading [</w:t>
      </w:r>
      <w:r w:rsidRPr="00A960E7">
        <w:rPr>
          <w:i/>
          <w:iCs/>
          <w:color w:val="211D1E"/>
          <w:szCs w:val="18"/>
        </w:rPr>
        <w:t>w</w:t>
      </w:r>
      <w:r w:rsidRPr="00A960E7">
        <w:rPr>
          <w:color w:val="211D1E"/>
          <w:szCs w:val="18"/>
        </w:rPr>
        <w:t>(</w:t>
      </w:r>
      <w:r w:rsidRPr="00A960E7">
        <w:rPr>
          <w:i/>
          <w:iCs/>
          <w:color w:val="211D1E"/>
          <w:szCs w:val="18"/>
        </w:rPr>
        <w:t>x</w:t>
      </w:r>
      <w:r w:rsidRPr="00A960E7">
        <w:rPr>
          <w:color w:val="211D1E"/>
          <w:szCs w:val="18"/>
        </w:rPr>
        <w:t>) = −</w:t>
      </w:r>
      <w:r w:rsidRPr="00A960E7">
        <w:rPr>
          <w:i/>
          <w:iCs/>
          <w:color w:val="211D1E"/>
          <w:szCs w:val="18"/>
        </w:rPr>
        <w:t>EId</w:t>
      </w:r>
      <w:r w:rsidRPr="00A960E7">
        <w:rPr>
          <w:rStyle w:val="A45"/>
          <w:sz w:val="32"/>
          <w:vertAlign w:val="superscript"/>
        </w:rPr>
        <w:t>4</w:t>
      </w:r>
      <w:r w:rsidRPr="00A960E7">
        <w:rPr>
          <w:rStyle w:val="A45"/>
          <w:sz w:val="24"/>
        </w:rPr>
        <w:t xml:space="preserve"> </w:t>
      </w:r>
      <w:r w:rsidRPr="00A960E7">
        <w:rPr>
          <w:i/>
          <w:iCs/>
          <w:color w:val="211D1E"/>
          <w:szCs w:val="18"/>
        </w:rPr>
        <w:t>y</w:t>
      </w:r>
      <w:r w:rsidRPr="00A960E7">
        <w:rPr>
          <w:color w:val="211D1E"/>
          <w:szCs w:val="18"/>
        </w:rPr>
        <w:t>/</w:t>
      </w:r>
      <w:r w:rsidRPr="00A960E7">
        <w:rPr>
          <w:i/>
          <w:iCs/>
          <w:color w:val="211D1E"/>
          <w:szCs w:val="18"/>
        </w:rPr>
        <w:t>dx</w:t>
      </w:r>
      <w:r w:rsidRPr="00A960E7">
        <w:rPr>
          <w:rStyle w:val="A45"/>
          <w:sz w:val="32"/>
          <w:vertAlign w:val="superscript"/>
        </w:rPr>
        <w:t>4</w:t>
      </w:r>
      <w:r w:rsidRPr="00A960E7">
        <w:rPr>
          <w:color w:val="211D1E"/>
          <w:szCs w:val="18"/>
        </w:rPr>
        <w:t xml:space="preserve">]. </w:t>
      </w:r>
    </w:p>
    <w:p w:rsidR="00115ECA" w:rsidRDefault="00A960E7" w:rsidP="00A960E7">
      <w:pPr>
        <w:autoSpaceDE w:val="0"/>
        <w:autoSpaceDN w:val="0"/>
        <w:adjustRightInd w:val="0"/>
        <w:spacing w:after="0" w:line="240" w:lineRule="auto"/>
        <w:jc w:val="center"/>
        <w:rPr>
          <w:rFonts w:ascii="STIX" w:hAnsi="STIX" w:cs="STIX"/>
          <w:color w:val="211D1E"/>
          <w:sz w:val="24"/>
          <w:szCs w:val="18"/>
        </w:rPr>
      </w:pPr>
      <w:r>
        <w:rPr>
          <w:rFonts w:ascii="STIX" w:hAnsi="STIX" w:cs="STIX"/>
          <w:noProof/>
          <w:color w:val="211D1E"/>
          <w:sz w:val="24"/>
          <w:szCs w:val="18"/>
        </w:rPr>
        <w:drawing>
          <wp:inline distT="0" distB="0" distL="0" distR="0">
            <wp:extent cx="3476625" cy="3914625"/>
            <wp:effectExtent l="19050" t="0" r="9525"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9" cstate="print"/>
                    <a:srcRect/>
                    <a:stretch>
                      <a:fillRect/>
                    </a:stretch>
                  </pic:blipFill>
                  <pic:spPr bwMode="auto">
                    <a:xfrm>
                      <a:off x="0" y="0"/>
                      <a:ext cx="3476625" cy="3914625"/>
                    </a:xfrm>
                    <a:prstGeom prst="rect">
                      <a:avLst/>
                    </a:prstGeom>
                    <a:noFill/>
                    <a:ln w="9525">
                      <a:noFill/>
                      <a:miter lim="800000"/>
                      <a:headEnd/>
                      <a:tailEnd/>
                    </a:ln>
                  </pic:spPr>
                </pic:pic>
              </a:graphicData>
            </a:graphic>
          </wp:inline>
        </w:drawing>
      </w:r>
    </w:p>
    <w:p w:rsidR="00604736" w:rsidRPr="00BF660B" w:rsidRDefault="00604736" w:rsidP="00604736">
      <w:pPr>
        <w:rPr>
          <w:rFonts w:ascii="STIX" w:hAnsi="STIX" w:cs="STIX"/>
          <w:sz w:val="24"/>
          <w:szCs w:val="24"/>
        </w:rPr>
      </w:pPr>
      <w:r w:rsidRPr="00BF660B">
        <w:rPr>
          <w:rFonts w:ascii="STIX" w:hAnsi="STIX" w:cs="STIX"/>
          <w:i/>
          <w:sz w:val="24"/>
          <w:szCs w:val="24"/>
        </w:rPr>
        <w:t>Problem continued on next page...</w:t>
      </w:r>
    </w:p>
    <w:p w:rsidR="00604736" w:rsidRDefault="00604736" w:rsidP="00604736">
      <w:pPr>
        <w:pStyle w:val="Default"/>
        <w:sectPr w:rsidR="00604736" w:rsidSect="00A7256C">
          <w:footerReference w:type="default" r:id="rId10"/>
          <w:pgSz w:w="12240" w:h="15840"/>
          <w:pgMar w:top="1440" w:right="990" w:bottom="1440" w:left="1440" w:header="720" w:footer="720" w:gutter="0"/>
          <w:cols w:space="720"/>
          <w:docGrid w:linePitch="360"/>
        </w:sectPr>
      </w:pPr>
    </w:p>
    <w:p w:rsidR="00604736" w:rsidRPr="00604736" w:rsidRDefault="00604736" w:rsidP="00604736">
      <w:pPr>
        <w:pStyle w:val="Default"/>
      </w:pPr>
    </w:p>
    <w:p w:rsidR="00604736" w:rsidRPr="00604736" w:rsidRDefault="00604736" w:rsidP="00604736">
      <w:pPr>
        <w:pStyle w:val="Default"/>
      </w:pPr>
      <w:r w:rsidRPr="00604736">
        <w:rPr>
          <w:color w:val="211D1E"/>
        </w:rPr>
        <w:t xml:space="preserve">Use the following parameters for your computation: </w:t>
      </w:r>
      <w:r w:rsidRPr="00604736">
        <w:rPr>
          <w:i/>
          <w:iCs/>
          <w:color w:val="211D1E"/>
        </w:rPr>
        <w:t xml:space="preserve">L </w:t>
      </w:r>
      <w:r w:rsidRPr="00604736">
        <w:rPr>
          <w:color w:val="211D1E"/>
        </w:rPr>
        <w:t xml:space="preserve">= 600 cm, </w:t>
      </w:r>
      <w:r w:rsidRPr="00604736">
        <w:rPr>
          <w:i/>
          <w:iCs/>
          <w:color w:val="211D1E"/>
        </w:rPr>
        <w:t xml:space="preserve">E </w:t>
      </w:r>
      <w:r w:rsidRPr="00604736">
        <w:rPr>
          <w:color w:val="211D1E"/>
        </w:rPr>
        <w:t>= 50,000 kN/cm</w:t>
      </w:r>
      <w:r w:rsidRPr="00604736">
        <w:rPr>
          <w:rStyle w:val="A45"/>
          <w:sz w:val="32"/>
          <w:szCs w:val="24"/>
          <w:vertAlign w:val="superscript"/>
        </w:rPr>
        <w:t>2</w:t>
      </w:r>
      <w:r w:rsidRPr="00604736">
        <w:rPr>
          <w:color w:val="211D1E"/>
        </w:rPr>
        <w:t xml:space="preserve">, </w:t>
      </w:r>
      <w:r>
        <w:rPr>
          <w:color w:val="211D1E"/>
        </w:rPr>
        <w:br w:type="textWrapping" w:clear="all"/>
      </w:r>
      <w:r w:rsidRPr="00604736">
        <w:rPr>
          <w:i/>
          <w:iCs/>
          <w:color w:val="211D1E"/>
        </w:rPr>
        <w:t xml:space="preserve">I </w:t>
      </w:r>
      <w:r w:rsidRPr="00604736">
        <w:rPr>
          <w:color w:val="211D1E"/>
        </w:rPr>
        <w:t>= 30,000 cm</w:t>
      </w:r>
      <w:r w:rsidRPr="00604736">
        <w:rPr>
          <w:rStyle w:val="A45"/>
          <w:sz w:val="32"/>
          <w:szCs w:val="24"/>
          <w:vertAlign w:val="superscript"/>
        </w:rPr>
        <w:t>4</w:t>
      </w:r>
      <w:r w:rsidRPr="00604736">
        <w:rPr>
          <w:color w:val="211D1E"/>
        </w:rPr>
        <w:t xml:space="preserve">, </w:t>
      </w:r>
      <w:r w:rsidRPr="00604736">
        <w:rPr>
          <w:i/>
          <w:iCs/>
          <w:color w:val="211D1E"/>
        </w:rPr>
        <w:t>w</w:t>
      </w:r>
      <w:r w:rsidRPr="0070430C">
        <w:rPr>
          <w:rStyle w:val="A46"/>
          <w:sz w:val="32"/>
          <w:szCs w:val="32"/>
          <w:vertAlign w:val="subscript"/>
        </w:rPr>
        <w:t>0</w:t>
      </w:r>
      <w:r w:rsidRPr="00604736">
        <w:rPr>
          <w:rStyle w:val="A46"/>
          <w:sz w:val="24"/>
          <w:szCs w:val="24"/>
        </w:rPr>
        <w:t xml:space="preserve"> </w:t>
      </w:r>
      <w:r w:rsidRPr="00604736">
        <w:rPr>
          <w:color w:val="211D1E"/>
        </w:rPr>
        <w:t>= 2.5 kN/cm, and Δ</w:t>
      </w:r>
      <w:r w:rsidRPr="00604736">
        <w:rPr>
          <w:i/>
          <w:iCs/>
          <w:color w:val="211D1E"/>
        </w:rPr>
        <w:t xml:space="preserve">x </w:t>
      </w:r>
      <w:r w:rsidRPr="00604736">
        <w:rPr>
          <w:color w:val="211D1E"/>
        </w:rPr>
        <w:t xml:space="preserve">= 10 cm. Employ the </w:t>
      </w:r>
      <w:r w:rsidRPr="00604736">
        <w:rPr>
          <w:rStyle w:val="A6"/>
          <w:rFonts w:ascii="STIX" w:hAnsi="STIX" w:cs="STIX"/>
          <w:sz w:val="24"/>
          <w:szCs w:val="24"/>
        </w:rPr>
        <w:t xml:space="preserve">subplot </w:t>
      </w:r>
      <w:r w:rsidRPr="00604736">
        <w:rPr>
          <w:color w:val="211D1E"/>
        </w:rPr>
        <w:t xml:space="preserve">function to display all the plots vertically on the same page in the order </w:t>
      </w:r>
      <w:r w:rsidRPr="00604736">
        <w:rPr>
          <w:b/>
          <w:bCs/>
          <w:color w:val="211D1E"/>
        </w:rPr>
        <w:t xml:space="preserve">(a) </w:t>
      </w:r>
      <w:r w:rsidRPr="00604736">
        <w:rPr>
          <w:color w:val="211D1E"/>
        </w:rPr>
        <w:t xml:space="preserve">to </w:t>
      </w:r>
      <w:r w:rsidRPr="00604736">
        <w:rPr>
          <w:b/>
          <w:bCs/>
          <w:color w:val="211D1E"/>
        </w:rPr>
        <w:t>(e)</w:t>
      </w:r>
      <w:r w:rsidRPr="00604736">
        <w:rPr>
          <w:color w:val="211D1E"/>
        </w:rPr>
        <w:t xml:space="preserve">. </w:t>
      </w:r>
      <w:r>
        <w:rPr>
          <w:color w:val="211D1E"/>
        </w:rPr>
        <w:t xml:space="preserve"> </w:t>
      </w:r>
      <w:r w:rsidRPr="00604736">
        <w:rPr>
          <w:color w:val="211D1E"/>
        </w:rPr>
        <w:t>Include labels and use consistent MKS units when developing the plots.</w:t>
      </w:r>
    </w:p>
    <w:sectPr w:rsidR="00604736" w:rsidRPr="00604736" w:rsidSect="00A7256C">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C54B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430C"/>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132</Words>
  <Characters>759</Characters>
  <Application>Microsoft Office Word</Application>
  <DocSecurity>0</DocSecurity>
  <Lines>6</Lines>
  <Paragraphs>1</Paragraphs>
  <ScaleCrop>false</ScaleCrop>
  <Company/>
  <LinksUpToDate>false</LinksUpToDate>
  <CharactersWithSpaces>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2017-03-13T20:30:00Z</dcterms:created>
  <dcterms:modified xsi:type="dcterms:W3CDTF">2017-04-02T15:59:00Z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