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592ACC" w:rsidRDefault="00512B6C" w:rsidP="00592ACC">
      <w:pPr>
        <w:pStyle w:val="Default"/>
        <w:rPr>
          <w:b/>
        </w:rPr>
      </w:pPr>
      <w:r w:rsidRPr="00592ACC">
        <w:rPr>
          <w:b/>
        </w:rPr>
        <w:t xml:space="preserve">Problem </w:t>
      </w:r>
      <w:r w:rsidR="00B043FD">
        <w:rPr>
          <w:b/>
        </w:rPr>
        <w:t>3.7</w:t>
      </w:r>
    </w:p>
    <w:p w:rsidR="00592ACC" w:rsidRDefault="00592ACC" w:rsidP="00592ACC">
      <w:pPr>
        <w:pStyle w:val="Default"/>
      </w:pPr>
    </w:p>
    <w:p w:rsidR="00B043FD" w:rsidRPr="00B043FD" w:rsidRDefault="00B043FD" w:rsidP="00B043FD">
      <w:pPr>
        <w:pStyle w:val="Default"/>
        <w:rPr>
          <w:color w:val="211D1E"/>
        </w:rPr>
      </w:pPr>
      <w:r w:rsidRPr="00B043FD">
        <w:rPr>
          <w:color w:val="211D1E"/>
        </w:rPr>
        <w:t xml:space="preserve">Develop an M-file to determine polar coordinates as described in Prob. 3.6. However, rather than designing the function to evaluate a single case, pass vectors of </w:t>
      </w:r>
      <w:r w:rsidRPr="00B043FD">
        <w:rPr>
          <w:i/>
          <w:iCs/>
          <w:color w:val="211D1E"/>
        </w:rPr>
        <w:t xml:space="preserve">x </w:t>
      </w:r>
      <w:r w:rsidRPr="00B043FD">
        <w:rPr>
          <w:color w:val="211D1E"/>
        </w:rPr>
        <w:t xml:space="preserve">and </w:t>
      </w:r>
      <w:r w:rsidRPr="00B043FD">
        <w:rPr>
          <w:i/>
          <w:iCs/>
          <w:color w:val="211D1E"/>
        </w:rPr>
        <w:t>y</w:t>
      </w:r>
      <w:r w:rsidRPr="00B043FD">
        <w:rPr>
          <w:color w:val="211D1E"/>
        </w:rPr>
        <w:t xml:space="preserve">. Have the function display the results as a table with columns for </w:t>
      </w:r>
      <w:r w:rsidRPr="00B043FD">
        <w:rPr>
          <w:i/>
          <w:iCs/>
          <w:color w:val="211D1E"/>
        </w:rPr>
        <w:t>x</w:t>
      </w:r>
      <w:r w:rsidRPr="00B043FD">
        <w:rPr>
          <w:color w:val="211D1E"/>
        </w:rPr>
        <w:t xml:space="preserve">, </w:t>
      </w:r>
      <w:r w:rsidRPr="00B043FD">
        <w:rPr>
          <w:i/>
          <w:iCs/>
          <w:color w:val="211D1E"/>
        </w:rPr>
        <w:t>y</w:t>
      </w:r>
      <w:r w:rsidRPr="00B043FD">
        <w:rPr>
          <w:color w:val="211D1E"/>
        </w:rPr>
        <w:t xml:space="preserve">, </w:t>
      </w:r>
      <w:r w:rsidRPr="00B043FD">
        <w:rPr>
          <w:i/>
          <w:iCs/>
          <w:color w:val="211D1E"/>
        </w:rPr>
        <w:t>r</w:t>
      </w:r>
      <w:r w:rsidRPr="00B043FD">
        <w:rPr>
          <w:color w:val="211D1E"/>
        </w:rPr>
        <w:t xml:space="preserve">, and </w:t>
      </w:r>
      <w:r w:rsidRPr="00B043FD">
        <w:rPr>
          <w:i/>
          <w:iCs/>
          <w:color w:val="211D1E"/>
        </w:rPr>
        <w:t>θ</w:t>
      </w:r>
      <w:r w:rsidRPr="00B043FD">
        <w:rPr>
          <w:color w:val="211D1E"/>
        </w:rPr>
        <w:t xml:space="preserve">. Test the program for the cases outlined in Prob. 3.6. </w:t>
      </w:r>
    </w:p>
    <w:p w:rsidR="00B043FD" w:rsidRDefault="00B043FD" w:rsidP="00B043FD">
      <w:pPr>
        <w:pStyle w:val="Default"/>
        <w:rPr>
          <w:b/>
          <w:i/>
        </w:rPr>
      </w:pPr>
    </w:p>
    <w:p w:rsidR="00B043FD" w:rsidRDefault="00B043FD" w:rsidP="00B043FD">
      <w:pPr>
        <w:pStyle w:val="Default"/>
        <w:rPr>
          <w:b/>
          <w:i/>
        </w:rPr>
      </w:pPr>
    </w:p>
    <w:p w:rsidR="00B043FD" w:rsidRPr="00B043FD" w:rsidRDefault="00B043FD" w:rsidP="00B043FD">
      <w:pPr>
        <w:pStyle w:val="Default"/>
        <w:rPr>
          <w:b/>
          <w:i/>
        </w:rPr>
      </w:pPr>
      <w:r w:rsidRPr="00B043FD">
        <w:rPr>
          <w:b/>
          <w:i/>
        </w:rPr>
        <w:t>Problem 3.6</w:t>
      </w:r>
    </w:p>
    <w:p w:rsidR="00B043FD" w:rsidRPr="00592ACC" w:rsidRDefault="00B043FD" w:rsidP="00B043FD">
      <w:pPr>
        <w:pStyle w:val="Default"/>
      </w:pPr>
    </w:p>
    <w:p w:rsidR="00592ACC" w:rsidRPr="00592ACC" w:rsidRDefault="00592ACC" w:rsidP="00592ACC">
      <w:pPr>
        <w:pStyle w:val="Pa141"/>
        <w:rPr>
          <w:color w:val="211D1E"/>
          <w:szCs w:val="18"/>
        </w:rPr>
      </w:pPr>
      <w:r w:rsidRPr="00592ACC">
        <w:rPr>
          <w:color w:val="211D1E"/>
          <w:szCs w:val="18"/>
        </w:rPr>
        <w:t xml:space="preserve">Two distances are required to specify the location of a point relative to an origin in two-dimensional space (Fig. P3.6): </w:t>
      </w:r>
    </w:p>
    <w:p w:rsidR="00592ACC" w:rsidRDefault="00592ACC" w:rsidP="00592ACC">
      <w:pPr>
        <w:pStyle w:val="Default"/>
        <w:numPr>
          <w:ilvl w:val="0"/>
          <w:numId w:val="5"/>
        </w:numPr>
        <w:rPr>
          <w:color w:val="211D1E"/>
          <w:szCs w:val="18"/>
        </w:rPr>
      </w:pPr>
    </w:p>
    <w:p w:rsidR="00592ACC" w:rsidRPr="00592ACC" w:rsidRDefault="00592ACC" w:rsidP="00592ACC">
      <w:pPr>
        <w:pStyle w:val="Default"/>
        <w:numPr>
          <w:ilvl w:val="0"/>
          <w:numId w:val="5"/>
        </w:numPr>
        <w:rPr>
          <w:color w:val="211D1E"/>
          <w:szCs w:val="18"/>
        </w:rPr>
      </w:pPr>
      <w:r w:rsidRPr="00592ACC">
        <w:rPr>
          <w:color w:val="211D1E"/>
          <w:szCs w:val="18"/>
        </w:rPr>
        <w:t>The horizontal and vertical distances (</w:t>
      </w:r>
      <w:r w:rsidRPr="00592ACC">
        <w:rPr>
          <w:i/>
          <w:iCs/>
          <w:color w:val="211D1E"/>
          <w:szCs w:val="18"/>
        </w:rPr>
        <w:t>x</w:t>
      </w:r>
      <w:r w:rsidRPr="00592ACC">
        <w:rPr>
          <w:color w:val="211D1E"/>
          <w:szCs w:val="18"/>
        </w:rPr>
        <w:t xml:space="preserve">, </w:t>
      </w:r>
      <w:r w:rsidRPr="00592ACC">
        <w:rPr>
          <w:i/>
          <w:iCs/>
          <w:color w:val="211D1E"/>
          <w:szCs w:val="18"/>
        </w:rPr>
        <w:t>y</w:t>
      </w:r>
      <w:r w:rsidRPr="00592ACC">
        <w:rPr>
          <w:color w:val="211D1E"/>
          <w:szCs w:val="18"/>
        </w:rPr>
        <w:t xml:space="preserve">) in Cartesian coordinates. </w:t>
      </w:r>
    </w:p>
    <w:p w:rsidR="00592ACC" w:rsidRPr="00592ACC" w:rsidRDefault="00592ACC" w:rsidP="00592ACC">
      <w:pPr>
        <w:pStyle w:val="Default"/>
        <w:numPr>
          <w:ilvl w:val="0"/>
          <w:numId w:val="5"/>
        </w:numPr>
        <w:rPr>
          <w:color w:val="211D1E"/>
          <w:szCs w:val="18"/>
        </w:rPr>
      </w:pPr>
      <w:r w:rsidRPr="00592ACC">
        <w:rPr>
          <w:color w:val="211D1E"/>
          <w:szCs w:val="18"/>
        </w:rPr>
        <w:t>The radius and angle (</w:t>
      </w:r>
      <w:r w:rsidRPr="00592ACC">
        <w:rPr>
          <w:i/>
          <w:iCs/>
          <w:color w:val="211D1E"/>
          <w:szCs w:val="18"/>
        </w:rPr>
        <w:t>r</w:t>
      </w:r>
      <w:r w:rsidRPr="00592ACC">
        <w:rPr>
          <w:color w:val="211D1E"/>
          <w:szCs w:val="18"/>
        </w:rPr>
        <w:t xml:space="preserve">, </w:t>
      </w:r>
      <w:r w:rsidRPr="00592ACC">
        <w:rPr>
          <w:i/>
          <w:iCs/>
          <w:color w:val="211D1E"/>
          <w:szCs w:val="18"/>
        </w:rPr>
        <w:t xml:space="preserve">θ </w:t>
      </w:r>
      <w:r w:rsidRPr="00592ACC">
        <w:rPr>
          <w:color w:val="211D1E"/>
          <w:szCs w:val="18"/>
        </w:rPr>
        <w:t xml:space="preserve">) in polar coordinates. </w:t>
      </w:r>
    </w:p>
    <w:p w:rsidR="00592ACC" w:rsidRPr="00592ACC" w:rsidRDefault="00592ACC" w:rsidP="00592ACC">
      <w:pPr>
        <w:pStyle w:val="Default"/>
        <w:rPr>
          <w:color w:val="211D1E"/>
          <w:szCs w:val="18"/>
        </w:rPr>
      </w:pPr>
    </w:p>
    <w:p w:rsidR="00592ACC" w:rsidRPr="00592ACC" w:rsidRDefault="00592ACC" w:rsidP="00592ACC">
      <w:pPr>
        <w:pStyle w:val="Pa141"/>
        <w:rPr>
          <w:color w:val="211D1E"/>
          <w:szCs w:val="18"/>
        </w:rPr>
      </w:pPr>
      <w:r w:rsidRPr="00592ACC">
        <w:rPr>
          <w:color w:val="211D1E"/>
          <w:szCs w:val="18"/>
        </w:rPr>
        <w:t>It is relatively straightforward to compute Cartesian coor</w:t>
      </w:r>
      <w:r w:rsidRPr="00592ACC">
        <w:rPr>
          <w:color w:val="211D1E"/>
          <w:szCs w:val="18"/>
        </w:rPr>
        <w:softHyphen/>
        <w:t>dinates (</w:t>
      </w:r>
      <w:r w:rsidRPr="00592ACC">
        <w:rPr>
          <w:i/>
          <w:iCs/>
          <w:color w:val="211D1E"/>
          <w:szCs w:val="18"/>
        </w:rPr>
        <w:t>x</w:t>
      </w:r>
      <w:r w:rsidRPr="00592ACC">
        <w:rPr>
          <w:color w:val="211D1E"/>
          <w:szCs w:val="18"/>
        </w:rPr>
        <w:t xml:space="preserve">, </w:t>
      </w:r>
      <w:r w:rsidRPr="00592ACC">
        <w:rPr>
          <w:i/>
          <w:iCs/>
          <w:color w:val="211D1E"/>
          <w:szCs w:val="18"/>
        </w:rPr>
        <w:t>y</w:t>
      </w:r>
      <w:r w:rsidRPr="00592ACC">
        <w:rPr>
          <w:color w:val="211D1E"/>
          <w:szCs w:val="18"/>
        </w:rPr>
        <w:t>) on the basis of polar coordinates (</w:t>
      </w:r>
      <w:r w:rsidRPr="00592ACC">
        <w:rPr>
          <w:i/>
          <w:iCs/>
          <w:color w:val="211D1E"/>
          <w:szCs w:val="18"/>
        </w:rPr>
        <w:t>r</w:t>
      </w:r>
      <w:r w:rsidRPr="00592ACC">
        <w:rPr>
          <w:color w:val="211D1E"/>
          <w:szCs w:val="18"/>
        </w:rPr>
        <w:t xml:space="preserve">, </w:t>
      </w:r>
      <w:r w:rsidRPr="00592ACC">
        <w:rPr>
          <w:i/>
          <w:iCs/>
          <w:color w:val="211D1E"/>
          <w:szCs w:val="18"/>
        </w:rPr>
        <w:t xml:space="preserve">θ </w:t>
      </w:r>
      <w:r w:rsidRPr="00592ACC">
        <w:rPr>
          <w:color w:val="211D1E"/>
          <w:szCs w:val="18"/>
        </w:rPr>
        <w:t xml:space="preserve">). The reverse process is not so simple. The radius can be computed by the following formula: </w:t>
      </w:r>
    </w:p>
    <w:p w:rsidR="00592ACC" w:rsidRDefault="00592ACC" w:rsidP="00592ACC">
      <w:pPr>
        <w:pStyle w:val="Default"/>
        <w:rPr>
          <w:i/>
          <w:iCs/>
          <w:color w:val="211D1E"/>
          <w:szCs w:val="18"/>
        </w:rPr>
      </w:pPr>
    </w:p>
    <w:p w:rsidR="00592ACC" w:rsidRDefault="00592ACC" w:rsidP="00592ACC">
      <w:pPr>
        <w:pStyle w:val="Default"/>
        <w:jc w:val="center"/>
        <w:rPr>
          <w:i/>
          <w:iCs/>
          <w:color w:val="211D1E"/>
          <w:szCs w:val="18"/>
        </w:rPr>
      </w:pPr>
      <w:r w:rsidRPr="00592ACC">
        <w:rPr>
          <w:i/>
          <w:iCs/>
          <w:color w:val="211D1E"/>
          <w:position w:val="-12"/>
          <w:szCs w:val="18"/>
        </w:rPr>
        <w:object w:dxaOrig="13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9" type="#_x0000_t75" style="width:66.75pt;height:21.75pt" o:ole="">
            <v:imagedata r:id="rId7" o:title=""/>
          </v:shape>
          <o:OLEObject Type="Embed" ProgID="Equation.DSMT4" ShapeID="_x0000_i1449" DrawAspect="Content" ObjectID="_1550925820" r:id="rId8"/>
        </w:object>
      </w:r>
      <w:r>
        <w:rPr>
          <w:i/>
          <w:iCs/>
          <w:color w:val="211D1E"/>
          <w:szCs w:val="18"/>
        </w:rPr>
        <w:t xml:space="preserve"> </w:t>
      </w:r>
    </w:p>
    <w:p w:rsidR="00592ACC" w:rsidRDefault="00592ACC" w:rsidP="00592ACC">
      <w:pPr>
        <w:pStyle w:val="Default"/>
        <w:rPr>
          <w:color w:val="211D1E"/>
          <w:szCs w:val="18"/>
        </w:rPr>
      </w:pPr>
    </w:p>
    <w:p w:rsidR="003B184B" w:rsidRDefault="00592ACC" w:rsidP="00592ACC">
      <w:pPr>
        <w:pStyle w:val="Default"/>
        <w:rPr>
          <w:color w:val="211D1E"/>
          <w:szCs w:val="18"/>
        </w:rPr>
      </w:pPr>
      <w:r w:rsidRPr="00592ACC">
        <w:rPr>
          <w:color w:val="211D1E"/>
          <w:szCs w:val="18"/>
        </w:rPr>
        <w:t>If the coordinates lie within the first and fourth coordi</w:t>
      </w:r>
      <w:r w:rsidRPr="00592ACC">
        <w:rPr>
          <w:color w:val="211D1E"/>
          <w:szCs w:val="18"/>
        </w:rPr>
        <w:softHyphen/>
        <w:t xml:space="preserve">nates (i.e., </w:t>
      </w:r>
      <w:r w:rsidRPr="00592ACC">
        <w:rPr>
          <w:i/>
          <w:iCs/>
          <w:color w:val="211D1E"/>
          <w:szCs w:val="18"/>
        </w:rPr>
        <w:t xml:space="preserve">x </w:t>
      </w:r>
      <w:r w:rsidRPr="00592ACC">
        <w:rPr>
          <w:color w:val="211D1E"/>
          <w:szCs w:val="18"/>
        </w:rPr>
        <w:t xml:space="preserve">&gt; 0), then a simple formula can be used to compute </w:t>
      </w:r>
      <w:r w:rsidRPr="00592ACC">
        <w:rPr>
          <w:i/>
          <w:iCs/>
          <w:color w:val="211D1E"/>
          <w:szCs w:val="18"/>
        </w:rPr>
        <w:t>θ</w:t>
      </w:r>
      <w:r w:rsidRPr="00592ACC">
        <w:rPr>
          <w:color w:val="211D1E"/>
          <w:szCs w:val="18"/>
        </w:rPr>
        <w:t xml:space="preserve">: </w:t>
      </w:r>
    </w:p>
    <w:p w:rsidR="00592ACC" w:rsidRDefault="00592ACC" w:rsidP="00592ACC">
      <w:pPr>
        <w:pStyle w:val="Default"/>
        <w:jc w:val="center"/>
        <w:rPr>
          <w:color w:val="211D1E"/>
          <w:szCs w:val="18"/>
        </w:rPr>
      </w:pPr>
      <w:r w:rsidRPr="00592ACC">
        <w:rPr>
          <w:color w:val="211D1E"/>
          <w:position w:val="-30"/>
          <w:szCs w:val="18"/>
        </w:rPr>
        <w:object w:dxaOrig="1420" w:dyaOrig="720">
          <v:shape id="_x0000_i1452" type="#_x0000_t75" style="width:71.25pt;height:36pt" o:ole="">
            <v:imagedata r:id="rId9" o:title=""/>
          </v:shape>
          <o:OLEObject Type="Embed" ProgID="Equation.DSMT4" ShapeID="_x0000_i1452" DrawAspect="Content" ObjectID="_1550925821" r:id="rId10"/>
        </w:object>
      </w:r>
      <w:r>
        <w:rPr>
          <w:color w:val="211D1E"/>
          <w:szCs w:val="18"/>
        </w:rPr>
        <w:t xml:space="preserve"> </w:t>
      </w:r>
    </w:p>
    <w:p w:rsidR="00592ACC" w:rsidRDefault="00592ACC" w:rsidP="00592ACC">
      <w:pPr>
        <w:pStyle w:val="Default"/>
        <w:jc w:val="center"/>
        <w:rPr>
          <w:color w:val="211D1E"/>
          <w:szCs w:val="18"/>
        </w:rPr>
      </w:pPr>
    </w:p>
    <w:p w:rsidR="00B043FD" w:rsidRPr="00BF660B" w:rsidRDefault="00B043FD" w:rsidP="00B043FD">
      <w:pPr>
        <w:rPr>
          <w:rFonts w:ascii="STIX" w:hAnsi="STIX" w:cs="STIX"/>
          <w:sz w:val="24"/>
          <w:szCs w:val="24"/>
        </w:rPr>
      </w:pPr>
      <w:r w:rsidRPr="00BF660B">
        <w:rPr>
          <w:rFonts w:ascii="STIX" w:hAnsi="STIX" w:cs="STIX"/>
          <w:i/>
          <w:sz w:val="24"/>
          <w:szCs w:val="24"/>
        </w:rPr>
        <w:t>Problem continued on next page...</w:t>
      </w:r>
    </w:p>
    <w:p w:rsidR="00B043FD" w:rsidRDefault="00B043FD" w:rsidP="00B043FD">
      <w:pPr>
        <w:pStyle w:val="Default"/>
        <w:jc w:val="center"/>
        <w:sectPr w:rsidR="00B043FD" w:rsidSect="00A7256C">
          <w:footerReference w:type="default" r:id="rId11"/>
          <w:pgSz w:w="12240" w:h="15840"/>
          <w:pgMar w:top="1440" w:right="990" w:bottom="1440" w:left="1440" w:header="720" w:footer="720" w:gutter="0"/>
          <w:cols w:space="720"/>
          <w:docGrid w:linePitch="360"/>
        </w:sectPr>
      </w:pPr>
    </w:p>
    <w:p w:rsidR="00592ACC" w:rsidRDefault="00592ACC" w:rsidP="00592ACC">
      <w:pPr>
        <w:pStyle w:val="Default"/>
        <w:jc w:val="center"/>
      </w:pPr>
      <w:r>
        <w:rPr>
          <w:noProof/>
        </w:rPr>
        <w:drawing>
          <wp:inline distT="0" distB="0" distL="0" distR="0">
            <wp:extent cx="2544677" cy="2676525"/>
            <wp:effectExtent l="19050" t="0" r="8023"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12" cstate="print"/>
                    <a:srcRect/>
                    <a:stretch>
                      <a:fillRect/>
                    </a:stretch>
                  </pic:blipFill>
                  <pic:spPr bwMode="auto">
                    <a:xfrm>
                      <a:off x="0" y="0"/>
                      <a:ext cx="2547147" cy="2679123"/>
                    </a:xfrm>
                    <a:prstGeom prst="rect">
                      <a:avLst/>
                    </a:prstGeom>
                    <a:noFill/>
                    <a:ln w="9525">
                      <a:noFill/>
                      <a:miter lim="800000"/>
                      <a:headEnd/>
                      <a:tailEnd/>
                    </a:ln>
                  </pic:spPr>
                </pic:pic>
              </a:graphicData>
            </a:graphic>
          </wp:inline>
        </w:drawing>
      </w:r>
    </w:p>
    <w:p w:rsidR="00592ACC" w:rsidRPr="00592ACC" w:rsidRDefault="00592ACC" w:rsidP="00592ACC">
      <w:pPr>
        <w:pStyle w:val="Default"/>
      </w:pPr>
    </w:p>
    <w:p w:rsidR="00592ACC" w:rsidRDefault="00592ACC" w:rsidP="00592ACC">
      <w:pPr>
        <w:pStyle w:val="Default"/>
        <w:rPr>
          <w:color w:val="211D1E"/>
        </w:rPr>
      </w:pPr>
      <w:r w:rsidRPr="00592ACC">
        <w:rPr>
          <w:color w:val="211D1E"/>
        </w:rPr>
        <w:t xml:space="preserve">The difficulty arises for the other cases. The following table summarizes the possibilities: </w:t>
      </w:r>
    </w:p>
    <w:p w:rsidR="00592ACC" w:rsidRDefault="00592ACC" w:rsidP="00592ACC">
      <w:pPr>
        <w:pStyle w:val="Default"/>
        <w:rPr>
          <w:color w:val="211D1E"/>
        </w:rPr>
      </w:pPr>
    </w:p>
    <w:p w:rsidR="00592ACC" w:rsidRDefault="00592ACC" w:rsidP="00592ACC">
      <w:pPr>
        <w:pStyle w:val="Default"/>
        <w:jc w:val="center"/>
      </w:pPr>
      <w:r w:rsidRPr="00592ACC">
        <w:rPr>
          <w:rFonts w:ascii="Courier" w:hAnsi="Courier"/>
          <w:noProof/>
        </w:rPr>
        <w:drawing>
          <wp:inline distT="0" distB="0" distL="0" distR="0">
            <wp:extent cx="3752850" cy="1530698"/>
            <wp:effectExtent l="1905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3" cstate="print"/>
                    <a:srcRect/>
                    <a:stretch>
                      <a:fillRect/>
                    </a:stretch>
                  </pic:blipFill>
                  <pic:spPr bwMode="auto">
                    <a:xfrm>
                      <a:off x="0" y="0"/>
                      <a:ext cx="3752850" cy="1530698"/>
                    </a:xfrm>
                    <a:prstGeom prst="rect">
                      <a:avLst/>
                    </a:prstGeom>
                    <a:noFill/>
                    <a:ln w="9525">
                      <a:noFill/>
                      <a:miter lim="800000"/>
                      <a:headEnd/>
                      <a:tailEnd/>
                    </a:ln>
                  </pic:spPr>
                </pic:pic>
              </a:graphicData>
            </a:graphic>
          </wp:inline>
        </w:drawing>
      </w:r>
    </w:p>
    <w:p w:rsidR="00592ACC" w:rsidRPr="00592ACC" w:rsidRDefault="00592ACC" w:rsidP="00592ACC">
      <w:pPr>
        <w:autoSpaceDE w:val="0"/>
        <w:autoSpaceDN w:val="0"/>
        <w:adjustRightInd w:val="0"/>
        <w:spacing w:after="0" w:line="240" w:lineRule="auto"/>
        <w:rPr>
          <w:rFonts w:ascii="STIX" w:hAnsi="STIX" w:cs="STIX"/>
          <w:color w:val="000000"/>
          <w:sz w:val="24"/>
          <w:szCs w:val="24"/>
        </w:rPr>
      </w:pPr>
    </w:p>
    <w:p w:rsidR="00592ACC" w:rsidRDefault="00592ACC" w:rsidP="00592ACC">
      <w:pPr>
        <w:pStyle w:val="Default"/>
        <w:rPr>
          <w:color w:val="211D1E"/>
        </w:rPr>
      </w:pPr>
      <w:r w:rsidRPr="00592ACC">
        <w:rPr>
          <w:color w:val="211D1E"/>
        </w:rPr>
        <w:t xml:space="preserve">Write a well-structured M-file using </w:t>
      </w:r>
      <w:r w:rsidRPr="00592ACC">
        <w:rPr>
          <w:rFonts w:ascii="Courier" w:hAnsi="Courier"/>
          <w:color w:val="211D1E"/>
        </w:rPr>
        <w:t>if...elseif</w:t>
      </w:r>
      <w:r w:rsidRPr="00592ACC">
        <w:rPr>
          <w:color w:val="211D1E"/>
        </w:rPr>
        <w:t xml:space="preserve"> structures to calculate </w:t>
      </w:r>
      <w:r w:rsidRPr="00592ACC">
        <w:rPr>
          <w:i/>
          <w:iCs/>
          <w:color w:val="211D1E"/>
        </w:rPr>
        <w:t xml:space="preserve">r </w:t>
      </w:r>
      <w:r w:rsidRPr="00592ACC">
        <w:rPr>
          <w:color w:val="211D1E"/>
        </w:rPr>
        <w:t xml:space="preserve">and </w:t>
      </w:r>
      <w:r w:rsidRPr="00592ACC">
        <w:rPr>
          <w:i/>
          <w:iCs/>
          <w:color w:val="211D1E"/>
        </w:rPr>
        <w:t xml:space="preserve">θ </w:t>
      </w:r>
      <w:r w:rsidRPr="00592ACC">
        <w:rPr>
          <w:color w:val="211D1E"/>
        </w:rPr>
        <w:t xml:space="preserve">as a function of </w:t>
      </w:r>
      <w:r w:rsidRPr="00592ACC">
        <w:rPr>
          <w:i/>
          <w:iCs/>
          <w:color w:val="211D1E"/>
        </w:rPr>
        <w:t xml:space="preserve">x </w:t>
      </w:r>
      <w:r w:rsidRPr="00592ACC">
        <w:rPr>
          <w:color w:val="211D1E"/>
        </w:rPr>
        <w:t xml:space="preserve">and </w:t>
      </w:r>
      <w:r w:rsidRPr="00592ACC">
        <w:rPr>
          <w:i/>
          <w:iCs/>
          <w:color w:val="211D1E"/>
        </w:rPr>
        <w:t>y</w:t>
      </w:r>
      <w:r w:rsidRPr="00592ACC">
        <w:rPr>
          <w:color w:val="211D1E"/>
        </w:rPr>
        <w:t xml:space="preserve">. Express the final results for </w:t>
      </w:r>
      <w:r w:rsidRPr="00592ACC">
        <w:rPr>
          <w:i/>
          <w:iCs/>
          <w:color w:val="211D1E"/>
        </w:rPr>
        <w:t xml:space="preserve">θ </w:t>
      </w:r>
      <w:r w:rsidRPr="00592ACC">
        <w:rPr>
          <w:color w:val="211D1E"/>
        </w:rPr>
        <w:t xml:space="preserve">in degrees. Test your program by evaluating the following cases: </w:t>
      </w:r>
    </w:p>
    <w:p w:rsidR="00592ACC" w:rsidRDefault="00592ACC" w:rsidP="00592ACC">
      <w:pPr>
        <w:pStyle w:val="Default"/>
        <w:rPr>
          <w:color w:val="211D1E"/>
        </w:rPr>
      </w:pPr>
    </w:p>
    <w:p w:rsidR="00592ACC" w:rsidRPr="00592ACC" w:rsidRDefault="00592ACC" w:rsidP="00592ACC">
      <w:pPr>
        <w:pStyle w:val="Default"/>
        <w:jc w:val="center"/>
      </w:pPr>
      <w:r>
        <w:rPr>
          <w:noProof/>
        </w:rPr>
        <w:drawing>
          <wp:inline distT="0" distB="0" distL="0" distR="0">
            <wp:extent cx="3606948" cy="2043761"/>
            <wp:effectExtent l="1905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14" cstate="print"/>
                    <a:srcRect/>
                    <a:stretch>
                      <a:fillRect/>
                    </a:stretch>
                  </pic:blipFill>
                  <pic:spPr bwMode="auto">
                    <a:xfrm>
                      <a:off x="0" y="0"/>
                      <a:ext cx="3606948" cy="2043761"/>
                    </a:xfrm>
                    <a:prstGeom prst="rect">
                      <a:avLst/>
                    </a:prstGeom>
                    <a:noFill/>
                    <a:ln w="9525">
                      <a:noFill/>
                      <a:miter lim="800000"/>
                      <a:headEnd/>
                      <a:tailEnd/>
                    </a:ln>
                  </pic:spPr>
                </pic:pic>
              </a:graphicData>
            </a:graphic>
          </wp:inline>
        </w:drawing>
      </w:r>
    </w:p>
    <w:sectPr w:rsidR="00592ACC" w:rsidRPr="00592ACC" w:rsidSect="00A7256C">
      <w:footerReference w:type="default" r:id="rId15"/>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3FD" w:rsidRPr="000A006E" w:rsidRDefault="00B043FD"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B043FD" w:rsidRDefault="00B043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2017-03-13T21:53:00Z</dcterms:created>
  <dcterms:modified xsi:type="dcterms:W3CDTF">2017-03-13T21:53:00Z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