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B3755" w:rsidRDefault="00512B6C" w:rsidP="00DB3755">
      <w:pPr>
        <w:pStyle w:val="Default"/>
        <w:rPr>
          <w:b/>
        </w:rPr>
      </w:pPr>
      <w:r w:rsidRPr="00DB3755">
        <w:rPr>
          <w:b/>
        </w:rPr>
        <w:t xml:space="preserve">Problem </w:t>
      </w:r>
      <w:r w:rsidR="008072FD">
        <w:rPr>
          <w:b/>
        </w:rPr>
        <w:t>5.23</w:t>
      </w:r>
    </w:p>
    <w:p w:rsidR="00BF3A6C" w:rsidRPr="00BF3A6C" w:rsidRDefault="00BF3A6C" w:rsidP="00DB3755">
      <w:pPr>
        <w:autoSpaceDE w:val="0"/>
        <w:autoSpaceDN w:val="0"/>
        <w:adjustRightInd w:val="0"/>
        <w:spacing w:after="0" w:line="240" w:lineRule="auto"/>
        <w:rPr>
          <w:rFonts w:ascii="STIX" w:hAnsi="STIX" w:cs="STIX"/>
          <w:color w:val="000000"/>
          <w:sz w:val="24"/>
          <w:szCs w:val="24"/>
        </w:rPr>
      </w:pPr>
    </w:p>
    <w:p w:rsidR="00DB3755" w:rsidRPr="00DB3755" w:rsidRDefault="00DB3755" w:rsidP="00DB3755">
      <w:pPr>
        <w:autoSpaceDE w:val="0"/>
        <w:autoSpaceDN w:val="0"/>
        <w:adjustRightInd w:val="0"/>
        <w:spacing w:after="0" w:line="180" w:lineRule="atLeast"/>
        <w:rPr>
          <w:rFonts w:ascii="STIX" w:hAnsi="STIX" w:cs="STIX"/>
          <w:color w:val="211D1E"/>
          <w:sz w:val="24"/>
          <w:szCs w:val="18"/>
        </w:rPr>
      </w:pPr>
      <w:r w:rsidRPr="00DB3755">
        <w:rPr>
          <w:rFonts w:ascii="STIX" w:hAnsi="STIX" w:cs="STIX"/>
          <w:color w:val="211D1E"/>
          <w:sz w:val="24"/>
          <w:szCs w:val="18"/>
        </w:rPr>
        <w:t xml:space="preserve">Although we did not mention it in Sec. 5.6, Eq. (5.13) is an expression of </w:t>
      </w:r>
      <w:r w:rsidRPr="00DB3755">
        <w:rPr>
          <w:rFonts w:ascii="STIX" w:hAnsi="STIX" w:cs="STIX"/>
          <w:i/>
          <w:iCs/>
          <w:color w:val="211D1E"/>
          <w:sz w:val="24"/>
          <w:szCs w:val="18"/>
        </w:rPr>
        <w:t>electroneutrality</w:t>
      </w:r>
      <w:r w:rsidRPr="00DB3755">
        <w:rPr>
          <w:rFonts w:ascii="STIX" w:hAnsi="STIX" w:cs="STIX"/>
          <w:color w:val="211D1E"/>
          <w:sz w:val="24"/>
          <w:szCs w:val="18"/>
        </w:rPr>
        <w:t>—that is, that positive and negative charges must balance. This can be seen more clearly by expressing it as</w:t>
      </w:r>
    </w:p>
    <w:p w:rsidR="00DB3755" w:rsidRPr="00DB3755" w:rsidRDefault="00DB3755" w:rsidP="00DB3755">
      <w:pPr>
        <w:autoSpaceDE w:val="0"/>
        <w:autoSpaceDN w:val="0"/>
        <w:adjustRightInd w:val="0"/>
        <w:spacing w:before="180" w:after="24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DB3755">
        <w:rPr>
          <w:rFonts w:ascii="STIX" w:hAnsi="STIX" w:cs="STIX"/>
          <w:color w:val="211D1E"/>
          <w:position w:val="-12"/>
          <w:sz w:val="24"/>
          <w:szCs w:val="18"/>
        </w:rPr>
        <w:object w:dxaOrig="33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8" type="#_x0000_t75" style="width:167.25pt;height:20.25pt" o:ole="">
            <v:imagedata r:id="rId7" o:title=""/>
          </v:shape>
          <o:OLEObject Type="Embed" ProgID="Equation.DSMT4" ShapeID="_x0000_i1828" DrawAspect="Content" ObjectID="_1551018930" r:id="rId8"/>
        </w:object>
      </w:r>
      <w:r>
        <w:rPr>
          <w:rFonts w:ascii="STIX" w:hAnsi="STIX" w:cs="STIX"/>
          <w:color w:val="211D1E"/>
          <w:sz w:val="24"/>
          <w:szCs w:val="18"/>
        </w:rPr>
        <w:t xml:space="preserve"> </w:t>
      </w:r>
    </w:p>
    <w:p w:rsidR="00DB3755" w:rsidRPr="00DB3755" w:rsidRDefault="00DB3755" w:rsidP="00DB3755">
      <w:pPr>
        <w:autoSpaceDE w:val="0"/>
        <w:autoSpaceDN w:val="0"/>
        <w:adjustRightInd w:val="0"/>
        <w:spacing w:after="0" w:line="180" w:lineRule="atLeast"/>
        <w:rPr>
          <w:rFonts w:ascii="STIX" w:hAnsi="STIX" w:cs="STIX"/>
          <w:color w:val="211D1E"/>
          <w:sz w:val="24"/>
          <w:szCs w:val="18"/>
        </w:rPr>
      </w:pPr>
      <w:r w:rsidRPr="00DB3755">
        <w:rPr>
          <w:rFonts w:ascii="STIX" w:hAnsi="STIX" w:cs="STIX"/>
          <w:color w:val="211D1E"/>
          <w:sz w:val="24"/>
          <w:szCs w:val="18"/>
        </w:rPr>
        <w:t xml:space="preserve">In other words, the positive charges must equal the negative charges. Thus, when you compute the pH of a natural water body such as a lake, you must also account for other ions that may be present. For the case where these ions originate from nonreactive salts, the net negative minus positive charges due to these ions are lumped together in a quantity called </w:t>
      </w:r>
      <w:r w:rsidRPr="00DB3755">
        <w:rPr>
          <w:rFonts w:ascii="STIX" w:hAnsi="STIX" w:cs="STIX"/>
          <w:i/>
          <w:iCs/>
          <w:color w:val="211D1E"/>
          <w:sz w:val="24"/>
          <w:szCs w:val="18"/>
        </w:rPr>
        <w:t xml:space="preserve">alkalinity, </w:t>
      </w:r>
      <w:r w:rsidRPr="00DB3755">
        <w:rPr>
          <w:rFonts w:ascii="STIX" w:hAnsi="STIX" w:cs="STIX"/>
          <w:color w:val="211D1E"/>
          <w:sz w:val="24"/>
          <w:szCs w:val="18"/>
        </w:rPr>
        <w:t>and the equation is reformulated as</w:t>
      </w:r>
    </w:p>
    <w:p w:rsidR="00DB3755" w:rsidRPr="00DB3755" w:rsidRDefault="00DB3755" w:rsidP="00DB3755">
      <w:pPr>
        <w:autoSpaceDE w:val="0"/>
        <w:autoSpaceDN w:val="0"/>
        <w:adjustRightInd w:val="0"/>
        <w:spacing w:before="140" w:after="140" w:line="180" w:lineRule="atLeast"/>
        <w:jc w:val="center"/>
        <w:rPr>
          <w:rFonts w:ascii="STIX" w:hAnsi="STIX" w:cs="STIX"/>
          <w:color w:val="211D1E"/>
          <w:sz w:val="24"/>
          <w:szCs w:val="18"/>
        </w:rPr>
      </w:pPr>
      <w:r>
        <w:rPr>
          <w:rFonts w:ascii="STIX" w:hAnsi="STIX" w:cs="STIX"/>
          <w:i/>
          <w:iCs/>
          <w:color w:val="211D1E"/>
          <w:sz w:val="24"/>
          <w:szCs w:val="18"/>
        </w:rPr>
        <w:t xml:space="preserve"> </w:t>
      </w:r>
      <w:r w:rsidRPr="00DB3755">
        <w:rPr>
          <w:rFonts w:ascii="STIX" w:hAnsi="STIX" w:cs="STIX"/>
          <w:i/>
          <w:iCs/>
          <w:color w:val="211D1E"/>
          <w:position w:val="-12"/>
          <w:sz w:val="24"/>
          <w:szCs w:val="18"/>
        </w:rPr>
        <w:object w:dxaOrig="4080" w:dyaOrig="400">
          <v:shape id="_x0000_i1826" type="#_x0000_t75" style="width:204pt;height:20.25pt" o:ole="">
            <v:imagedata r:id="rId9" o:title=""/>
          </v:shape>
          <o:OLEObject Type="Embed" ProgID="Equation.DSMT4" ShapeID="_x0000_i1826" DrawAspect="Content" ObjectID="_1551018931" r:id="rId10"/>
        </w:object>
      </w:r>
      <w:r>
        <w:rPr>
          <w:rFonts w:ascii="STIX" w:hAnsi="STIX" w:cs="STIX"/>
          <w:i/>
          <w:iCs/>
          <w:color w:val="211D1E"/>
          <w:sz w:val="24"/>
          <w:szCs w:val="18"/>
        </w:rPr>
        <w:t xml:space="preserve">                  (P5.23)</w:t>
      </w:r>
    </w:p>
    <w:p w:rsidR="00BF3A6C" w:rsidRDefault="00DB3755" w:rsidP="00DB3755">
      <w:pPr>
        <w:autoSpaceDE w:val="0"/>
        <w:autoSpaceDN w:val="0"/>
        <w:adjustRightInd w:val="0"/>
        <w:spacing w:after="0" w:line="180" w:lineRule="atLeast"/>
        <w:rPr>
          <w:rFonts w:ascii="STIX" w:hAnsi="STIX" w:cs="STIX"/>
          <w:color w:val="211D1E"/>
          <w:sz w:val="24"/>
          <w:szCs w:val="18"/>
        </w:rPr>
      </w:pPr>
      <w:r w:rsidRPr="00DB3755">
        <w:rPr>
          <w:rFonts w:ascii="STIX" w:hAnsi="STIX" w:cs="STIX"/>
          <w:color w:val="211D1E"/>
          <w:sz w:val="24"/>
          <w:szCs w:val="18"/>
        </w:rPr>
        <w:t xml:space="preserve">where </w:t>
      </w:r>
      <w:r w:rsidRPr="00DB3755">
        <w:rPr>
          <w:rFonts w:ascii="STIX" w:hAnsi="STIX" w:cs="STIX"/>
          <w:i/>
          <w:iCs/>
          <w:color w:val="211D1E"/>
          <w:sz w:val="24"/>
          <w:szCs w:val="18"/>
        </w:rPr>
        <w:t xml:space="preserve">Alk </w:t>
      </w:r>
      <w:r w:rsidRPr="00DB3755">
        <w:rPr>
          <w:rFonts w:ascii="STIX" w:hAnsi="STIX" w:cs="STIX"/>
          <w:color w:val="211D1E"/>
          <w:sz w:val="24"/>
          <w:szCs w:val="18"/>
        </w:rPr>
        <w:t xml:space="preserve">= alkalinity (eq/L). For example, the alkalinity of Lake Superior is approximately </w:t>
      </w:r>
      <w:r>
        <w:rPr>
          <w:rFonts w:ascii="STIX" w:hAnsi="STIX" w:cs="STIX"/>
          <w:color w:val="211D1E"/>
          <w:sz w:val="24"/>
          <w:szCs w:val="18"/>
        </w:rPr>
        <w:br w:type="textWrapping" w:clear="all"/>
      </w:r>
      <w:r w:rsidRPr="00DB3755">
        <w:rPr>
          <w:rFonts w:ascii="STIX" w:hAnsi="STIX" w:cs="STIX"/>
          <w:color w:val="211D1E"/>
          <w:sz w:val="24"/>
          <w:szCs w:val="18"/>
        </w:rPr>
        <w:t>0.4 × 10</w:t>
      </w:r>
      <w:r w:rsidRPr="00DB3755">
        <w:rPr>
          <w:rFonts w:ascii="STIX" w:hAnsi="STIX" w:cs="STIX"/>
          <w:color w:val="211D1E"/>
          <w:sz w:val="32"/>
          <w:vertAlign w:val="superscript"/>
        </w:rPr>
        <w:t>–3</w:t>
      </w:r>
      <w:r w:rsidRPr="00DB3755">
        <w:rPr>
          <w:rFonts w:ascii="STIX" w:hAnsi="STIX" w:cs="STIX"/>
          <w:color w:val="211D1E"/>
          <w:sz w:val="24"/>
        </w:rPr>
        <w:t xml:space="preserve"> </w:t>
      </w:r>
      <w:r w:rsidRPr="00DB3755">
        <w:rPr>
          <w:rFonts w:ascii="STIX" w:hAnsi="STIX" w:cs="STIX"/>
          <w:color w:val="211D1E"/>
          <w:sz w:val="24"/>
          <w:szCs w:val="18"/>
        </w:rPr>
        <w:t>eq/L. Perform the same calculations as in Sec. 5.6 to compute the pH of Lake Superior in 2008. Assume that just like the raindrops, the lake is in equilibrium with atmospheric CO</w:t>
      </w:r>
      <w:r w:rsidRPr="00DB3755">
        <w:rPr>
          <w:rFonts w:ascii="STIX" w:hAnsi="STIX" w:cs="STIX"/>
          <w:color w:val="211D1E"/>
          <w:sz w:val="32"/>
          <w:vertAlign w:val="subscript"/>
        </w:rPr>
        <w:t>2</w:t>
      </w:r>
      <w:r w:rsidRPr="00DB3755">
        <w:rPr>
          <w:rFonts w:ascii="STIX" w:hAnsi="STIX" w:cs="STIX"/>
          <w:color w:val="211D1E"/>
          <w:sz w:val="24"/>
        </w:rPr>
        <w:t xml:space="preserve"> </w:t>
      </w:r>
      <w:r w:rsidRPr="00DB3755">
        <w:rPr>
          <w:rFonts w:ascii="STIX" w:hAnsi="STIX" w:cs="STIX"/>
          <w:color w:val="211D1E"/>
          <w:sz w:val="24"/>
          <w:szCs w:val="18"/>
        </w:rPr>
        <w:t>but account for the alkalinity as in Eq. (P5.23).</w:t>
      </w:r>
    </w:p>
    <w:p w:rsidR="00DB3755" w:rsidRDefault="00DB3755" w:rsidP="00DB3755">
      <w:pPr>
        <w:autoSpaceDE w:val="0"/>
        <w:autoSpaceDN w:val="0"/>
        <w:adjustRightInd w:val="0"/>
        <w:spacing w:after="0" w:line="180" w:lineRule="atLeast"/>
        <w:rPr>
          <w:rFonts w:ascii="STIX" w:hAnsi="STIX" w:cs="STIX"/>
          <w:color w:val="211D1E"/>
          <w:sz w:val="24"/>
          <w:szCs w:val="18"/>
        </w:rPr>
      </w:pPr>
    </w:p>
    <w:p w:rsidR="00DB3755" w:rsidRDefault="00DB3755" w:rsidP="00DB3755">
      <w:pPr>
        <w:autoSpaceDE w:val="0"/>
        <w:autoSpaceDN w:val="0"/>
        <w:adjustRightInd w:val="0"/>
        <w:spacing w:after="0" w:line="180" w:lineRule="atLeast"/>
        <w:rPr>
          <w:rFonts w:ascii="STIX" w:hAnsi="STIX" w:cs="STIX"/>
          <w:color w:val="211D1E"/>
          <w:sz w:val="24"/>
          <w:szCs w:val="18"/>
        </w:rPr>
      </w:pPr>
      <w:r>
        <w:rPr>
          <w:rFonts w:ascii="STIX" w:hAnsi="STIX" w:cs="STIX"/>
          <w:color w:val="211D1E"/>
          <w:sz w:val="24"/>
          <w:szCs w:val="18"/>
        </w:rPr>
        <w:t>Eq. 5.13:</w:t>
      </w:r>
    </w:p>
    <w:p w:rsidR="00DB3755" w:rsidRPr="00DB3755" w:rsidRDefault="00DB3755" w:rsidP="00DB3755">
      <w:pPr>
        <w:autoSpaceDE w:val="0"/>
        <w:autoSpaceDN w:val="0"/>
        <w:adjustRightInd w:val="0"/>
        <w:spacing w:after="0" w:line="180" w:lineRule="atLeast"/>
        <w:jc w:val="center"/>
        <w:rPr>
          <w:rFonts w:ascii="STIX" w:hAnsi="STIX" w:cs="STIX"/>
          <w:sz w:val="24"/>
          <w:szCs w:val="24"/>
        </w:rPr>
      </w:pPr>
      <w:r w:rsidRPr="00DB3755">
        <w:rPr>
          <w:rFonts w:ascii="STIX" w:hAnsi="STIX" w:cs="STIX"/>
          <w:color w:val="211D1E"/>
          <w:position w:val="-12"/>
          <w:sz w:val="24"/>
          <w:szCs w:val="18"/>
        </w:rPr>
        <w:object w:dxaOrig="3900" w:dyaOrig="400">
          <v:shape id="_x0000_i1831" type="#_x0000_t75" style="width:195pt;height:20.25pt" o:ole="">
            <v:imagedata r:id="rId11" o:title=""/>
          </v:shape>
          <o:OLEObject Type="Embed" ProgID="Equation.DSMT4" ShapeID="_x0000_i1831" DrawAspect="Content" ObjectID="_1551018932" r:id="rId12"/>
        </w:object>
      </w:r>
      <w:r>
        <w:rPr>
          <w:rFonts w:ascii="STIX" w:hAnsi="STIX" w:cs="STIX"/>
          <w:color w:val="211D1E"/>
          <w:sz w:val="24"/>
          <w:szCs w:val="18"/>
        </w:rPr>
        <w:t xml:space="preserve"> </w:t>
      </w:r>
    </w:p>
    <w:sectPr w:rsidR="00DB3755" w:rsidRPr="00DB3755"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161</Words>
  <Characters>922</Characters>
  <Application>Microsoft Office Word</Application>
  <DocSecurity>0</DocSecurity>
  <Lines>7</Lines>
  <Paragraphs>2</Paragraphs>
  <ScaleCrop>false</ScaleCrop>
  <Company/>
  <LinksUpToDate>false</LinksUpToDate>
  <CharactersWithSpaces>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2017-03-14T23:29:00Z</dcterms:created>
  <dcterms:modified xsi:type="dcterms:W3CDTF">2017-03-14T23:29:00Z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