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5072A" w:rsidRDefault="00512B6C" w:rsidP="0035072A">
      <w:pPr>
        <w:pStyle w:val="Default"/>
        <w:rPr>
          <w:b/>
        </w:rPr>
      </w:pPr>
      <w:r w:rsidRPr="0035072A">
        <w:rPr>
          <w:b/>
        </w:rPr>
        <w:t xml:space="preserve">Problem </w:t>
      </w:r>
      <w:r w:rsidR="00A97F2F" w:rsidRPr="0035072A">
        <w:rPr>
          <w:b/>
        </w:rPr>
        <w:t>6.</w:t>
      </w:r>
      <w:r w:rsidR="0035072A" w:rsidRPr="0035072A">
        <w:rPr>
          <w:b/>
        </w:rPr>
        <w:t>25</w:t>
      </w:r>
    </w:p>
    <w:p w:rsidR="0035072A" w:rsidRPr="0035072A" w:rsidRDefault="0035072A" w:rsidP="0035072A">
      <w:pPr>
        <w:autoSpaceDE w:val="0"/>
        <w:autoSpaceDN w:val="0"/>
        <w:adjustRightInd w:val="0"/>
        <w:spacing w:after="0" w:line="240" w:lineRule="auto"/>
        <w:rPr>
          <w:rFonts w:ascii="STIX" w:hAnsi="STIX" w:cs="STIX"/>
          <w:color w:val="000000"/>
          <w:sz w:val="24"/>
          <w:szCs w:val="24"/>
        </w:rPr>
      </w:pPr>
    </w:p>
    <w:p w:rsidR="0035072A" w:rsidRPr="0035072A" w:rsidRDefault="0035072A" w:rsidP="0035072A">
      <w:pPr>
        <w:autoSpaceDE w:val="0"/>
        <w:autoSpaceDN w:val="0"/>
        <w:adjustRightInd w:val="0"/>
        <w:spacing w:after="0" w:line="180" w:lineRule="atLeast"/>
        <w:rPr>
          <w:rFonts w:ascii="STIX" w:hAnsi="STIX" w:cs="STIX"/>
          <w:color w:val="211D1E"/>
          <w:sz w:val="24"/>
          <w:szCs w:val="18"/>
        </w:rPr>
      </w:pPr>
      <w:r w:rsidRPr="0035072A">
        <w:rPr>
          <w:rFonts w:ascii="STIX" w:hAnsi="STIX" w:cs="STIX"/>
          <w:color w:val="211D1E"/>
          <w:sz w:val="24"/>
          <w:szCs w:val="18"/>
        </w:rPr>
        <w:t>The Manning equation can be written for a rectangular open channel as</w:t>
      </w:r>
    </w:p>
    <w:p w:rsidR="0035072A" w:rsidRDefault="0035072A" w:rsidP="0035072A">
      <w:pPr>
        <w:pStyle w:val="Default"/>
        <w:rPr>
          <w:color w:val="211D1E"/>
          <w:szCs w:val="18"/>
        </w:rPr>
      </w:pPr>
    </w:p>
    <w:p w:rsidR="0035072A" w:rsidRDefault="0035072A" w:rsidP="0035072A">
      <w:pPr>
        <w:pStyle w:val="Default"/>
        <w:jc w:val="center"/>
        <w:rPr>
          <w:color w:val="211D1E"/>
          <w:szCs w:val="18"/>
        </w:rPr>
      </w:pPr>
      <w:r w:rsidRPr="0035072A">
        <w:rPr>
          <w:color w:val="211D1E"/>
          <w:position w:val="-42"/>
          <w:szCs w:val="18"/>
        </w:rPr>
        <w:object w:dxaOrig="206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5" type="#_x0000_t75" style="width:102.75pt;height:48pt" o:ole="">
            <v:imagedata r:id="rId7" o:title=""/>
          </v:shape>
          <o:OLEObject Type="Embed" ProgID="Equation.DSMT4" ShapeID="_x0000_i1935" DrawAspect="Content" ObjectID="_1551078275" r:id="rId8"/>
        </w:object>
      </w:r>
      <w:r>
        <w:rPr>
          <w:color w:val="211D1E"/>
          <w:szCs w:val="18"/>
        </w:rPr>
        <w:t xml:space="preserve"> </w:t>
      </w:r>
    </w:p>
    <w:p w:rsidR="0035072A" w:rsidRDefault="0035072A" w:rsidP="0035072A">
      <w:pPr>
        <w:pStyle w:val="Default"/>
        <w:jc w:val="center"/>
        <w:rPr>
          <w:color w:val="211D1E"/>
          <w:szCs w:val="18"/>
        </w:rPr>
      </w:pPr>
    </w:p>
    <w:p w:rsidR="008E4871" w:rsidRPr="00903450" w:rsidRDefault="0035072A" w:rsidP="0035072A">
      <w:pPr>
        <w:pStyle w:val="Default"/>
        <w:rPr>
          <w:color w:val="211D1E"/>
        </w:rPr>
      </w:pPr>
      <w:r w:rsidRPr="0035072A">
        <w:rPr>
          <w:color w:val="211D1E"/>
          <w:szCs w:val="18"/>
        </w:rPr>
        <w:t xml:space="preserve">where </w:t>
      </w:r>
      <w:r w:rsidRPr="0035072A">
        <w:rPr>
          <w:i/>
          <w:iCs/>
          <w:color w:val="211D1E"/>
          <w:szCs w:val="18"/>
        </w:rPr>
        <w:t xml:space="preserve">Q </w:t>
      </w:r>
      <w:r w:rsidRPr="0035072A">
        <w:rPr>
          <w:color w:val="211D1E"/>
          <w:szCs w:val="18"/>
        </w:rPr>
        <w:t>= flow (m</w:t>
      </w:r>
      <w:r w:rsidRPr="0035072A">
        <w:rPr>
          <w:color w:val="211D1E"/>
          <w:sz w:val="32"/>
          <w:vertAlign w:val="superscript"/>
        </w:rPr>
        <w:t>3</w:t>
      </w:r>
      <w:r w:rsidRPr="0035072A">
        <w:rPr>
          <w:color w:val="211D1E"/>
          <w:szCs w:val="18"/>
        </w:rPr>
        <w:t xml:space="preserve">/s), </w:t>
      </w:r>
      <w:r w:rsidRPr="0035072A">
        <w:rPr>
          <w:i/>
          <w:iCs/>
          <w:color w:val="211D1E"/>
          <w:szCs w:val="18"/>
        </w:rPr>
        <w:t xml:space="preserve">S </w:t>
      </w:r>
      <w:r w:rsidRPr="0035072A">
        <w:rPr>
          <w:color w:val="211D1E"/>
          <w:szCs w:val="18"/>
        </w:rPr>
        <w:t xml:space="preserve">= slope (m/m), </w:t>
      </w:r>
      <w:r w:rsidRPr="0035072A">
        <w:rPr>
          <w:i/>
          <w:iCs/>
          <w:color w:val="211D1E"/>
          <w:szCs w:val="18"/>
        </w:rPr>
        <w:t xml:space="preserve">H </w:t>
      </w:r>
      <w:r w:rsidRPr="0035072A">
        <w:rPr>
          <w:color w:val="211D1E"/>
          <w:szCs w:val="18"/>
        </w:rPr>
        <w:t xml:space="preserve">= depth (m), and </w:t>
      </w:r>
      <w:r w:rsidRPr="0035072A">
        <w:rPr>
          <w:i/>
          <w:iCs/>
          <w:color w:val="211D1E"/>
          <w:szCs w:val="18"/>
        </w:rPr>
        <w:t xml:space="preserve">n </w:t>
      </w:r>
      <w:r w:rsidRPr="0035072A">
        <w:rPr>
          <w:color w:val="211D1E"/>
          <w:szCs w:val="18"/>
        </w:rPr>
        <w:t xml:space="preserve">= the Manning roughness coefficient. Develop a fixed-point iteration scheme to solve this equation for </w:t>
      </w:r>
      <w:r w:rsidRPr="0035072A">
        <w:rPr>
          <w:i/>
          <w:iCs/>
          <w:color w:val="211D1E"/>
          <w:szCs w:val="18"/>
        </w:rPr>
        <w:t xml:space="preserve">H </w:t>
      </w:r>
      <w:r w:rsidRPr="0035072A">
        <w:rPr>
          <w:color w:val="211D1E"/>
          <w:szCs w:val="18"/>
        </w:rPr>
        <w:t xml:space="preserve">given </w:t>
      </w:r>
      <w:r w:rsidRPr="0035072A">
        <w:rPr>
          <w:i/>
          <w:iCs/>
          <w:color w:val="211D1E"/>
          <w:szCs w:val="18"/>
        </w:rPr>
        <w:t xml:space="preserve">Q </w:t>
      </w:r>
      <w:r w:rsidRPr="0035072A">
        <w:rPr>
          <w:color w:val="211D1E"/>
          <w:szCs w:val="18"/>
        </w:rPr>
        <w:t xml:space="preserve">= 5, </w:t>
      </w:r>
      <w:r w:rsidRPr="0035072A">
        <w:rPr>
          <w:i/>
          <w:iCs/>
          <w:color w:val="211D1E"/>
          <w:szCs w:val="18"/>
        </w:rPr>
        <w:t xml:space="preserve">S </w:t>
      </w:r>
      <w:r w:rsidRPr="0035072A">
        <w:rPr>
          <w:color w:val="211D1E"/>
          <w:szCs w:val="18"/>
        </w:rPr>
        <w:t xml:space="preserve">= 0.0002, </w:t>
      </w:r>
      <w:r w:rsidRPr="0035072A">
        <w:rPr>
          <w:i/>
          <w:iCs/>
          <w:color w:val="211D1E"/>
          <w:szCs w:val="18"/>
        </w:rPr>
        <w:t xml:space="preserve">B </w:t>
      </w:r>
      <w:r w:rsidRPr="0035072A">
        <w:rPr>
          <w:color w:val="211D1E"/>
          <w:szCs w:val="18"/>
        </w:rPr>
        <w:t xml:space="preserve">= 20, and </w:t>
      </w:r>
      <w:r w:rsidRPr="0035072A">
        <w:rPr>
          <w:i/>
          <w:iCs/>
          <w:color w:val="211D1E"/>
          <w:szCs w:val="18"/>
        </w:rPr>
        <w:t xml:space="preserve">n </w:t>
      </w:r>
      <w:r w:rsidRPr="0035072A">
        <w:rPr>
          <w:color w:val="211D1E"/>
          <w:szCs w:val="18"/>
        </w:rPr>
        <w:t>= 0.03. Perform the compu</w:t>
      </w:r>
      <w:r w:rsidRPr="0035072A">
        <w:rPr>
          <w:color w:val="211D1E"/>
          <w:szCs w:val="18"/>
        </w:rPr>
        <w:softHyphen/>
        <w:t xml:space="preserve">tation until </w:t>
      </w:r>
      <w:r w:rsidRPr="0035072A">
        <w:rPr>
          <w:i/>
          <w:iCs/>
          <w:color w:val="211D1E"/>
          <w:szCs w:val="18"/>
        </w:rPr>
        <w:t>ε</w:t>
      </w:r>
      <w:r w:rsidRPr="0035072A">
        <w:rPr>
          <w:i/>
          <w:iCs/>
          <w:color w:val="211D1E"/>
          <w:szCs w:val="11"/>
        </w:rPr>
        <w:t xml:space="preserve">a </w:t>
      </w:r>
      <w:r w:rsidRPr="0035072A">
        <w:rPr>
          <w:color w:val="211D1E"/>
          <w:szCs w:val="18"/>
        </w:rPr>
        <w:t xml:space="preserve">is less than </w:t>
      </w:r>
      <w:r w:rsidRPr="0035072A">
        <w:rPr>
          <w:i/>
          <w:iCs/>
          <w:color w:val="211D1E"/>
          <w:szCs w:val="18"/>
        </w:rPr>
        <w:t>ε</w:t>
      </w:r>
      <w:r w:rsidRPr="0035072A">
        <w:rPr>
          <w:i/>
          <w:iCs/>
          <w:color w:val="211D1E"/>
          <w:sz w:val="32"/>
          <w:szCs w:val="11"/>
          <w:vertAlign w:val="subscript"/>
        </w:rPr>
        <w:t>s</w:t>
      </w:r>
      <w:r w:rsidRPr="0035072A">
        <w:rPr>
          <w:i/>
          <w:iCs/>
          <w:color w:val="211D1E"/>
          <w:szCs w:val="11"/>
        </w:rPr>
        <w:t xml:space="preserve"> </w:t>
      </w:r>
      <w:r w:rsidRPr="0035072A">
        <w:rPr>
          <w:color w:val="211D1E"/>
          <w:szCs w:val="18"/>
        </w:rPr>
        <w:t xml:space="preserve">= 0.05%. Prove that your scheme converges for all initial guesses greater than or equal to zero. </w:t>
      </w:r>
    </w:p>
    <w:sectPr w:rsidR="008E4871" w:rsidRPr="00903450"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2017-03-15T15:57:00Z</dcterms:created>
  <dcterms:modified xsi:type="dcterms:W3CDTF">2017-03-15T15:57:00Z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