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4347F" w:rsidRDefault="00512B6C" w:rsidP="0014347F">
      <w:pPr>
        <w:pStyle w:val="Default"/>
        <w:rPr>
          <w:b/>
        </w:rPr>
      </w:pPr>
      <w:r w:rsidRPr="0014347F">
        <w:rPr>
          <w:b/>
        </w:rPr>
        <w:t xml:space="preserve">Problem </w:t>
      </w:r>
      <w:r w:rsidR="00A97F2F" w:rsidRPr="0014347F">
        <w:rPr>
          <w:b/>
        </w:rPr>
        <w:t>6.</w:t>
      </w:r>
      <w:r w:rsidR="0014347F" w:rsidRPr="0014347F">
        <w:rPr>
          <w:b/>
        </w:rPr>
        <w:t>37</w:t>
      </w:r>
    </w:p>
    <w:p w:rsidR="0014347F" w:rsidRPr="0014347F" w:rsidRDefault="0014347F" w:rsidP="0014347F">
      <w:pPr>
        <w:autoSpaceDE w:val="0"/>
        <w:autoSpaceDN w:val="0"/>
        <w:adjustRightInd w:val="0"/>
        <w:spacing w:after="0" w:line="240" w:lineRule="auto"/>
        <w:rPr>
          <w:rFonts w:ascii="STIX" w:hAnsi="STIX" w:cs="STIX"/>
          <w:color w:val="000000"/>
          <w:sz w:val="24"/>
          <w:szCs w:val="24"/>
        </w:rPr>
      </w:pPr>
    </w:p>
    <w:p w:rsidR="0014347F" w:rsidRPr="0014347F" w:rsidRDefault="0014347F" w:rsidP="0014347F">
      <w:pPr>
        <w:autoSpaceDE w:val="0"/>
        <w:autoSpaceDN w:val="0"/>
        <w:adjustRightInd w:val="0"/>
        <w:spacing w:after="0" w:line="180" w:lineRule="atLeast"/>
        <w:rPr>
          <w:rFonts w:ascii="STIX" w:hAnsi="STIX" w:cs="STIX"/>
          <w:color w:val="211D1E"/>
          <w:sz w:val="24"/>
          <w:szCs w:val="18"/>
        </w:rPr>
      </w:pPr>
      <w:r w:rsidRPr="0014347F">
        <w:rPr>
          <w:rFonts w:ascii="STIX" w:hAnsi="STIX" w:cs="STIX"/>
          <w:color w:val="211D1E"/>
          <w:sz w:val="24"/>
          <w:szCs w:val="18"/>
        </w:rPr>
        <w:t>As described in Sec. 1.4, for objects falling through fluids at very low speeds, the flow regime around the object will be laminar and the relationship between the drag force and velocity is linear. In addition, in such cases, the buoy</w:t>
      </w:r>
      <w:r w:rsidRPr="0014347F">
        <w:rPr>
          <w:rFonts w:ascii="STIX" w:hAnsi="STIX" w:cs="STIX"/>
          <w:color w:val="211D1E"/>
          <w:sz w:val="24"/>
          <w:szCs w:val="18"/>
        </w:rPr>
        <w:softHyphen/>
        <w:t xml:space="preserve">ancy force must also be included. For such cases, a force balance can be written as </w:t>
      </w:r>
    </w:p>
    <w:p w:rsidR="0014347F" w:rsidRDefault="0014347F" w:rsidP="0014347F">
      <w:pPr>
        <w:pStyle w:val="Default"/>
        <w:jc w:val="center"/>
      </w:pPr>
      <w:r w:rsidRPr="0014347F">
        <w:rPr>
          <w:color w:val="211D1E"/>
          <w:position w:val="-24"/>
          <w:szCs w:val="18"/>
        </w:rPr>
        <w:object w:dxaOrig="67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33.75pt" o:ole="">
            <v:imagedata r:id="rId7" o:title=""/>
          </v:shape>
          <o:OLEObject Type="Embed" ProgID="Equation.DSMT4" ShapeID="_x0000_i1025" DrawAspect="Content" ObjectID="_1552657300" r:id="rId8"/>
        </w:object>
      </w:r>
      <w:r>
        <w:rPr>
          <w:color w:val="211D1E"/>
          <w:szCs w:val="18"/>
        </w:rPr>
        <w:t xml:space="preserve"> </w:t>
      </w:r>
    </w:p>
    <w:p w:rsidR="0014347F" w:rsidRPr="0014347F" w:rsidRDefault="0014347F" w:rsidP="0014347F">
      <w:pPr>
        <w:autoSpaceDE w:val="0"/>
        <w:autoSpaceDN w:val="0"/>
        <w:adjustRightInd w:val="0"/>
        <w:spacing w:before="120" w:after="180" w:line="180" w:lineRule="atLeast"/>
        <w:ind w:left="240"/>
        <w:rPr>
          <w:rFonts w:ascii="STIX" w:hAnsi="STIX" w:cs="STIX"/>
          <w:color w:val="211D1E"/>
          <w:sz w:val="24"/>
          <w:szCs w:val="18"/>
        </w:rPr>
      </w:pPr>
      <w:r>
        <w:rPr>
          <w:rFonts w:ascii="STIX" w:hAnsi="STIX" w:cs="STIX"/>
          <w:color w:val="211D1E"/>
          <w:sz w:val="24"/>
          <w:szCs w:val="18"/>
        </w:rPr>
        <w:t xml:space="preserve">                              </w:t>
      </w:r>
      <w:r w:rsidRPr="0014347F">
        <w:rPr>
          <w:rFonts w:ascii="STIX" w:hAnsi="STIX" w:cs="STIX"/>
          <w:color w:val="211D1E"/>
          <w:sz w:val="24"/>
          <w:szCs w:val="18"/>
        </w:rPr>
        <w:t xml:space="preserve">(gravity) </w:t>
      </w:r>
      <w:r>
        <w:rPr>
          <w:rFonts w:ascii="STIX" w:hAnsi="STIX" w:cs="STIX"/>
          <w:color w:val="211D1E"/>
          <w:sz w:val="24"/>
          <w:szCs w:val="18"/>
        </w:rPr>
        <w:t xml:space="preserve">          </w:t>
      </w:r>
      <w:r w:rsidRPr="0014347F">
        <w:rPr>
          <w:rFonts w:ascii="STIX" w:hAnsi="STIX" w:cs="STIX"/>
          <w:color w:val="211D1E"/>
          <w:sz w:val="24"/>
          <w:szCs w:val="18"/>
        </w:rPr>
        <w:t xml:space="preserve">(buoyancy) </w:t>
      </w:r>
      <w:r>
        <w:rPr>
          <w:rFonts w:ascii="STIX" w:hAnsi="STIX" w:cs="STIX"/>
          <w:color w:val="211D1E"/>
          <w:sz w:val="24"/>
          <w:szCs w:val="18"/>
        </w:rPr>
        <w:t xml:space="preserve">            </w:t>
      </w:r>
      <w:r w:rsidRPr="0014347F">
        <w:rPr>
          <w:rFonts w:ascii="STIX" w:hAnsi="STIX" w:cs="STIX"/>
          <w:color w:val="211D1E"/>
          <w:sz w:val="24"/>
          <w:szCs w:val="18"/>
        </w:rPr>
        <w:t>(drag)</w:t>
      </w:r>
    </w:p>
    <w:p w:rsidR="0014347F" w:rsidRDefault="0014347F" w:rsidP="0014347F">
      <w:pPr>
        <w:autoSpaceDE w:val="0"/>
        <w:autoSpaceDN w:val="0"/>
        <w:adjustRightInd w:val="0"/>
        <w:spacing w:after="0" w:line="180" w:lineRule="atLeast"/>
        <w:rPr>
          <w:rFonts w:ascii="STIX" w:hAnsi="STIX" w:cs="STIX"/>
          <w:color w:val="211D1E"/>
          <w:sz w:val="24"/>
          <w:szCs w:val="18"/>
        </w:rPr>
      </w:pPr>
      <w:r w:rsidRPr="0014347F">
        <w:rPr>
          <w:rFonts w:ascii="STIX" w:hAnsi="STIX" w:cs="STIX"/>
          <w:color w:val="211D1E"/>
          <w:sz w:val="24"/>
          <w:szCs w:val="18"/>
        </w:rPr>
        <w:t xml:space="preserve">where </w:t>
      </w:r>
      <w:r w:rsidRPr="0014347F">
        <w:rPr>
          <w:rFonts w:ascii="STIX" w:hAnsi="STIX" w:cs="STIX"/>
          <w:i/>
          <w:iCs/>
          <w:color w:val="211D1E"/>
          <w:sz w:val="24"/>
          <w:szCs w:val="18"/>
        </w:rPr>
        <w:t xml:space="preserve">υ </w:t>
      </w:r>
      <w:r w:rsidRPr="0014347F">
        <w:rPr>
          <w:rFonts w:ascii="STIX" w:hAnsi="STIX" w:cs="STIX"/>
          <w:color w:val="211D1E"/>
          <w:sz w:val="24"/>
          <w:szCs w:val="18"/>
        </w:rPr>
        <w:t xml:space="preserve">= velocity (m/s), </w:t>
      </w:r>
      <w:r w:rsidRPr="0014347F">
        <w:rPr>
          <w:rFonts w:ascii="STIX" w:hAnsi="STIX" w:cs="STIX"/>
          <w:i/>
          <w:iCs/>
          <w:color w:val="211D1E"/>
          <w:sz w:val="24"/>
          <w:szCs w:val="18"/>
        </w:rPr>
        <w:t xml:space="preserve">t </w:t>
      </w:r>
      <w:r w:rsidRPr="0014347F">
        <w:rPr>
          <w:rFonts w:ascii="STIX" w:hAnsi="STIX" w:cs="STIX"/>
          <w:color w:val="211D1E"/>
          <w:sz w:val="24"/>
          <w:szCs w:val="18"/>
        </w:rPr>
        <w:t xml:space="preserve">= time (s), </w:t>
      </w:r>
      <w:r w:rsidRPr="0014347F">
        <w:rPr>
          <w:rFonts w:ascii="STIX" w:hAnsi="STIX" w:cs="STIX"/>
          <w:i/>
          <w:iCs/>
          <w:color w:val="211D1E"/>
          <w:sz w:val="24"/>
          <w:szCs w:val="18"/>
        </w:rPr>
        <w:t xml:space="preserve">m </w:t>
      </w:r>
      <w:r w:rsidRPr="0014347F">
        <w:rPr>
          <w:rFonts w:ascii="STIX" w:hAnsi="STIX" w:cs="STIX"/>
          <w:color w:val="211D1E"/>
          <w:sz w:val="24"/>
          <w:szCs w:val="18"/>
        </w:rPr>
        <w:t xml:space="preserve">= the mass of the particle (kg), </w:t>
      </w:r>
      <w:r w:rsidRPr="0014347F">
        <w:rPr>
          <w:rFonts w:ascii="STIX" w:hAnsi="STIX" w:cs="STIX"/>
          <w:i/>
          <w:iCs/>
          <w:color w:val="211D1E"/>
          <w:sz w:val="24"/>
          <w:szCs w:val="18"/>
        </w:rPr>
        <w:t xml:space="preserve">g </w:t>
      </w:r>
      <w:r w:rsidRPr="0014347F">
        <w:rPr>
          <w:rFonts w:ascii="STIX" w:hAnsi="STIX" w:cs="STIX"/>
          <w:color w:val="211D1E"/>
          <w:sz w:val="24"/>
          <w:szCs w:val="18"/>
        </w:rPr>
        <w:t>= the gravitational constant (= 9.81 m/s</w:t>
      </w:r>
      <w:r w:rsidRPr="0014347F">
        <w:rPr>
          <w:rFonts w:ascii="STIX" w:hAnsi="STIX" w:cs="STIX"/>
          <w:color w:val="211D1E"/>
          <w:sz w:val="32"/>
          <w:vertAlign w:val="superscript"/>
        </w:rPr>
        <w:t>2</w:t>
      </w:r>
      <w:r w:rsidRPr="0014347F">
        <w:rPr>
          <w:rFonts w:ascii="STIX" w:hAnsi="STIX" w:cs="STIX"/>
          <w:color w:val="211D1E"/>
          <w:sz w:val="24"/>
          <w:szCs w:val="18"/>
        </w:rPr>
        <w:t xml:space="preserve">), </w:t>
      </w:r>
      <w:r w:rsidRPr="0014347F">
        <w:rPr>
          <w:rFonts w:ascii="STIX" w:hAnsi="STIX" w:cs="STIX"/>
          <w:i/>
          <w:iCs/>
          <w:color w:val="211D1E"/>
          <w:sz w:val="24"/>
          <w:szCs w:val="18"/>
        </w:rPr>
        <w:t>ρ</w:t>
      </w:r>
      <w:r w:rsidRPr="0014347F">
        <w:rPr>
          <w:rFonts w:ascii="STIX" w:hAnsi="STIX" w:cs="STIX"/>
          <w:i/>
          <w:iCs/>
          <w:color w:val="211D1E"/>
          <w:sz w:val="32"/>
          <w:szCs w:val="11"/>
          <w:vertAlign w:val="subscript"/>
        </w:rPr>
        <w:t>f</w:t>
      </w:r>
      <w:r w:rsidRPr="0014347F">
        <w:rPr>
          <w:rFonts w:ascii="STIX" w:hAnsi="STIX" w:cs="STIX"/>
          <w:i/>
          <w:iCs/>
          <w:color w:val="211D1E"/>
          <w:sz w:val="24"/>
          <w:szCs w:val="11"/>
        </w:rPr>
        <w:t xml:space="preserve"> </w:t>
      </w:r>
      <w:r w:rsidRPr="0014347F">
        <w:rPr>
          <w:rFonts w:ascii="STIX" w:hAnsi="STIX" w:cs="STIX"/>
          <w:color w:val="211D1E"/>
          <w:sz w:val="24"/>
          <w:szCs w:val="18"/>
        </w:rPr>
        <w:t>= fluid density (kg/m</w:t>
      </w:r>
      <w:r w:rsidRPr="0014347F">
        <w:rPr>
          <w:rFonts w:ascii="STIX" w:hAnsi="STIX" w:cs="STIX"/>
          <w:color w:val="211D1E"/>
          <w:sz w:val="32"/>
          <w:vertAlign w:val="superscript"/>
        </w:rPr>
        <w:t>3</w:t>
      </w:r>
      <w:r w:rsidRPr="0014347F">
        <w:rPr>
          <w:rFonts w:ascii="STIX" w:hAnsi="STIX" w:cs="STIX"/>
          <w:color w:val="211D1E"/>
          <w:sz w:val="24"/>
          <w:szCs w:val="18"/>
        </w:rPr>
        <w:t xml:space="preserve">), </w:t>
      </w:r>
      <w:r w:rsidRPr="0014347F">
        <w:rPr>
          <w:rFonts w:ascii="STIX" w:hAnsi="STIX" w:cs="STIX"/>
          <w:i/>
          <w:iCs/>
          <w:color w:val="211D1E"/>
          <w:sz w:val="24"/>
          <w:szCs w:val="18"/>
        </w:rPr>
        <w:t xml:space="preserve">V </w:t>
      </w:r>
      <w:r w:rsidRPr="0014347F">
        <w:rPr>
          <w:rFonts w:ascii="STIX" w:hAnsi="STIX" w:cs="STIX"/>
          <w:color w:val="211D1E"/>
          <w:sz w:val="24"/>
          <w:szCs w:val="18"/>
        </w:rPr>
        <w:t>= particle volume (m</w:t>
      </w:r>
      <w:r w:rsidRPr="005E1099">
        <w:rPr>
          <w:rFonts w:ascii="STIX" w:hAnsi="STIX" w:cs="STIX"/>
          <w:color w:val="211D1E"/>
          <w:sz w:val="32"/>
          <w:vertAlign w:val="superscript"/>
        </w:rPr>
        <w:t>3</w:t>
      </w:r>
      <w:r w:rsidRPr="0014347F">
        <w:rPr>
          <w:rFonts w:ascii="STIX" w:hAnsi="STIX" w:cs="STIX"/>
          <w:color w:val="211D1E"/>
          <w:sz w:val="24"/>
          <w:szCs w:val="18"/>
        </w:rPr>
        <w:t xml:space="preserve">), and </w:t>
      </w:r>
      <w:r w:rsidRPr="0014347F">
        <w:rPr>
          <w:rFonts w:ascii="STIX" w:hAnsi="STIX" w:cs="STIX"/>
          <w:i/>
          <w:iCs/>
          <w:color w:val="211D1E"/>
          <w:sz w:val="24"/>
          <w:szCs w:val="18"/>
        </w:rPr>
        <w:t>c</w:t>
      </w:r>
      <w:r w:rsidRPr="0014347F">
        <w:rPr>
          <w:rFonts w:ascii="STIX" w:hAnsi="STIX" w:cs="STIX"/>
          <w:i/>
          <w:iCs/>
          <w:color w:val="211D1E"/>
          <w:sz w:val="32"/>
          <w:szCs w:val="11"/>
          <w:vertAlign w:val="subscript"/>
        </w:rPr>
        <w:t>d</w:t>
      </w:r>
      <w:r w:rsidRPr="0014347F">
        <w:rPr>
          <w:rFonts w:ascii="STIX" w:hAnsi="STIX" w:cs="STIX"/>
          <w:i/>
          <w:iCs/>
          <w:color w:val="211D1E"/>
          <w:sz w:val="24"/>
          <w:szCs w:val="11"/>
        </w:rPr>
        <w:t xml:space="preserve"> </w:t>
      </w:r>
      <w:r w:rsidRPr="0014347F">
        <w:rPr>
          <w:rFonts w:ascii="STIX" w:hAnsi="STIX" w:cs="STIX"/>
          <w:color w:val="211D1E"/>
          <w:sz w:val="24"/>
          <w:szCs w:val="18"/>
        </w:rPr>
        <w:t xml:space="preserve">= the linear drag coefficient (kg/m). Note that the mass of the particle can be computed as </w:t>
      </w:r>
      <w:r w:rsidRPr="0014347F">
        <w:rPr>
          <w:rFonts w:ascii="STIX" w:hAnsi="STIX" w:cs="STIX"/>
          <w:i/>
          <w:iCs/>
          <w:color w:val="211D1E"/>
          <w:sz w:val="24"/>
          <w:szCs w:val="18"/>
        </w:rPr>
        <w:t>Vρ</w:t>
      </w:r>
      <w:r w:rsidRPr="0014347F">
        <w:rPr>
          <w:rFonts w:ascii="STIX" w:hAnsi="STIX" w:cs="STIX"/>
          <w:i/>
          <w:iCs/>
          <w:color w:val="211D1E"/>
          <w:sz w:val="32"/>
          <w:szCs w:val="11"/>
          <w:vertAlign w:val="subscript"/>
        </w:rPr>
        <w:t>s</w:t>
      </w:r>
      <w:r w:rsidRPr="0014347F">
        <w:rPr>
          <w:rFonts w:ascii="STIX" w:hAnsi="STIX" w:cs="STIX"/>
          <w:color w:val="211D1E"/>
          <w:sz w:val="24"/>
          <w:szCs w:val="18"/>
        </w:rPr>
        <w:t xml:space="preserve">, where </w:t>
      </w:r>
      <w:r w:rsidRPr="0014347F">
        <w:rPr>
          <w:rFonts w:ascii="STIX" w:hAnsi="STIX" w:cs="STIX"/>
          <w:i/>
          <w:iCs/>
          <w:color w:val="211D1E"/>
          <w:sz w:val="24"/>
          <w:szCs w:val="18"/>
        </w:rPr>
        <w:t>ρ</w:t>
      </w:r>
      <w:r w:rsidRPr="0014347F">
        <w:rPr>
          <w:rFonts w:ascii="STIX" w:hAnsi="STIX" w:cs="STIX"/>
          <w:i/>
          <w:iCs/>
          <w:color w:val="211D1E"/>
          <w:sz w:val="32"/>
          <w:szCs w:val="11"/>
          <w:vertAlign w:val="subscript"/>
        </w:rPr>
        <w:t>s</w:t>
      </w:r>
      <w:r w:rsidRPr="0014347F">
        <w:rPr>
          <w:rFonts w:ascii="STIX" w:hAnsi="STIX" w:cs="STIX"/>
          <w:i/>
          <w:iCs/>
          <w:color w:val="211D1E"/>
          <w:sz w:val="24"/>
          <w:szCs w:val="11"/>
        </w:rPr>
        <w:t xml:space="preserve"> </w:t>
      </w:r>
      <w:r w:rsidRPr="0014347F">
        <w:rPr>
          <w:rFonts w:ascii="STIX" w:hAnsi="STIX" w:cs="STIX"/>
          <w:color w:val="211D1E"/>
          <w:sz w:val="24"/>
          <w:szCs w:val="18"/>
        </w:rPr>
        <w:t>= the density of the particle (kg/m</w:t>
      </w:r>
      <w:r w:rsidRPr="0014347F">
        <w:rPr>
          <w:rFonts w:ascii="STIX" w:hAnsi="STIX" w:cs="STIX"/>
          <w:color w:val="211D1E"/>
          <w:sz w:val="32"/>
          <w:vertAlign w:val="superscript"/>
        </w:rPr>
        <w:t>3</w:t>
      </w:r>
      <w:r w:rsidRPr="0014347F">
        <w:rPr>
          <w:rFonts w:ascii="STIX" w:hAnsi="STIX" w:cs="STIX"/>
          <w:color w:val="211D1E"/>
          <w:sz w:val="24"/>
          <w:szCs w:val="18"/>
        </w:rPr>
        <w:t xml:space="preserve">). For a small sphere, Stokes developed the following formula for the drag coefficient, </w:t>
      </w:r>
      <w:r w:rsidRPr="0014347F">
        <w:rPr>
          <w:rFonts w:ascii="STIX" w:hAnsi="STIX" w:cs="STIX"/>
          <w:i/>
          <w:iCs/>
          <w:color w:val="211D1E"/>
          <w:sz w:val="24"/>
          <w:szCs w:val="18"/>
        </w:rPr>
        <w:t>c</w:t>
      </w:r>
      <w:r w:rsidRPr="0014347F">
        <w:rPr>
          <w:rFonts w:ascii="STIX" w:hAnsi="STIX" w:cs="STIX"/>
          <w:i/>
          <w:iCs/>
          <w:color w:val="211D1E"/>
          <w:sz w:val="32"/>
          <w:szCs w:val="11"/>
          <w:vertAlign w:val="subscript"/>
        </w:rPr>
        <w:t>d</w:t>
      </w:r>
      <w:r w:rsidRPr="0014347F">
        <w:rPr>
          <w:rFonts w:ascii="STIX" w:hAnsi="STIX" w:cs="STIX"/>
          <w:i/>
          <w:iCs/>
          <w:color w:val="211D1E"/>
          <w:sz w:val="24"/>
          <w:szCs w:val="11"/>
        </w:rPr>
        <w:t xml:space="preserve"> </w:t>
      </w:r>
      <w:r w:rsidRPr="0014347F">
        <w:rPr>
          <w:rFonts w:ascii="STIX" w:hAnsi="STIX" w:cs="STIX"/>
          <w:color w:val="211D1E"/>
          <w:sz w:val="24"/>
          <w:szCs w:val="18"/>
        </w:rPr>
        <w:t>= 6</w:t>
      </w:r>
      <w:r w:rsidRPr="0014347F">
        <w:rPr>
          <w:rFonts w:ascii="STIX" w:hAnsi="STIX" w:cs="STIX"/>
          <w:i/>
          <w:iCs/>
          <w:color w:val="211D1E"/>
          <w:sz w:val="24"/>
          <w:szCs w:val="18"/>
        </w:rPr>
        <w:t>πμr</w:t>
      </w:r>
      <w:r w:rsidRPr="0014347F">
        <w:rPr>
          <w:rFonts w:ascii="STIX" w:hAnsi="STIX" w:cs="STIX"/>
          <w:color w:val="211D1E"/>
          <w:sz w:val="24"/>
          <w:szCs w:val="18"/>
        </w:rPr>
        <w:t xml:space="preserve">, where </w:t>
      </w:r>
      <w:r w:rsidRPr="0014347F">
        <w:rPr>
          <w:rFonts w:ascii="STIX" w:hAnsi="STIX" w:cs="STIX"/>
          <w:i/>
          <w:iCs/>
          <w:color w:val="211D1E"/>
          <w:sz w:val="24"/>
          <w:szCs w:val="18"/>
        </w:rPr>
        <w:t xml:space="preserve">μ </w:t>
      </w:r>
      <w:r w:rsidRPr="0014347F">
        <w:rPr>
          <w:rFonts w:ascii="STIX" w:hAnsi="STIX" w:cs="STIX"/>
          <w:color w:val="211D1E"/>
          <w:sz w:val="24"/>
          <w:szCs w:val="18"/>
        </w:rPr>
        <w:t>= the fluid’s dynamic viscosity (N s/m</w:t>
      </w:r>
      <w:r w:rsidRPr="0014347F">
        <w:rPr>
          <w:rFonts w:ascii="STIX" w:hAnsi="STIX" w:cs="STIX"/>
          <w:color w:val="211D1E"/>
          <w:sz w:val="32"/>
          <w:vertAlign w:val="superscript"/>
        </w:rPr>
        <w:t>2</w:t>
      </w:r>
      <w:r w:rsidRPr="0014347F">
        <w:rPr>
          <w:rFonts w:ascii="STIX" w:hAnsi="STIX" w:cs="STIX"/>
          <w:color w:val="211D1E"/>
          <w:sz w:val="24"/>
          <w:szCs w:val="18"/>
        </w:rPr>
        <w:t xml:space="preserve">), and </w:t>
      </w:r>
      <w:r w:rsidRPr="0014347F">
        <w:rPr>
          <w:rFonts w:ascii="STIX" w:hAnsi="STIX" w:cs="STIX"/>
          <w:i/>
          <w:iCs/>
          <w:color w:val="211D1E"/>
          <w:sz w:val="24"/>
          <w:szCs w:val="18"/>
        </w:rPr>
        <w:t xml:space="preserve">r </w:t>
      </w:r>
      <w:r w:rsidRPr="0014347F">
        <w:rPr>
          <w:rFonts w:ascii="STIX" w:hAnsi="STIX" w:cs="STIX"/>
          <w:color w:val="211D1E"/>
          <w:sz w:val="24"/>
          <w:szCs w:val="18"/>
        </w:rPr>
        <w:t>= the sphere’s radius</w:t>
      </w:r>
      <w:r>
        <w:rPr>
          <w:rFonts w:ascii="STIX" w:hAnsi="STIX" w:cs="STIX"/>
          <w:color w:val="211D1E"/>
          <w:sz w:val="24"/>
          <w:szCs w:val="18"/>
        </w:rPr>
        <w:t> </w:t>
      </w:r>
      <w:r w:rsidRPr="0014347F">
        <w:rPr>
          <w:rFonts w:ascii="STIX" w:hAnsi="STIX" w:cs="STIX"/>
          <w:color w:val="211D1E"/>
          <w:sz w:val="24"/>
          <w:szCs w:val="18"/>
        </w:rPr>
        <w:t>(m).</w:t>
      </w:r>
    </w:p>
    <w:p w:rsidR="0014347F" w:rsidRDefault="0014347F" w:rsidP="0014347F">
      <w:pPr>
        <w:pStyle w:val="Default"/>
        <w:rPr>
          <w:color w:val="211D1E"/>
          <w:szCs w:val="18"/>
        </w:rPr>
      </w:pPr>
      <w:r w:rsidRPr="0014347F">
        <w:rPr>
          <w:color w:val="211D1E"/>
          <w:szCs w:val="18"/>
        </w:rPr>
        <w:t>You release an iron sphere at the surface of a container (</w:t>
      </w:r>
      <w:r w:rsidRPr="0014347F">
        <w:rPr>
          <w:i/>
          <w:iCs/>
          <w:color w:val="211D1E"/>
          <w:szCs w:val="18"/>
        </w:rPr>
        <w:t xml:space="preserve">x </w:t>
      </w:r>
      <w:r w:rsidRPr="0014347F">
        <w:rPr>
          <w:color w:val="211D1E"/>
          <w:szCs w:val="18"/>
        </w:rPr>
        <w:t>= 0) filled with honey (Fig. P6.37) and then measure how long it takes to settle to the bottom (</w:t>
      </w:r>
      <w:r w:rsidRPr="0014347F">
        <w:rPr>
          <w:i/>
          <w:iCs/>
          <w:color w:val="211D1E"/>
          <w:szCs w:val="18"/>
        </w:rPr>
        <w:t xml:space="preserve">x </w:t>
      </w:r>
      <w:r w:rsidRPr="0014347F">
        <w:rPr>
          <w:color w:val="211D1E"/>
          <w:szCs w:val="18"/>
        </w:rPr>
        <w:t xml:space="preserve">= </w:t>
      </w:r>
      <w:r w:rsidRPr="0014347F">
        <w:rPr>
          <w:i/>
          <w:iCs/>
          <w:color w:val="211D1E"/>
          <w:szCs w:val="18"/>
        </w:rPr>
        <w:t>L</w:t>
      </w:r>
      <w:r w:rsidRPr="0014347F">
        <w:rPr>
          <w:color w:val="211D1E"/>
          <w:szCs w:val="18"/>
        </w:rPr>
        <w:t>). Use this infor</w:t>
      </w:r>
      <w:r w:rsidRPr="0014347F">
        <w:rPr>
          <w:color w:val="211D1E"/>
          <w:szCs w:val="18"/>
        </w:rPr>
        <w:softHyphen/>
        <w:t>mation to estimate the honey’s viscosity based on the fol</w:t>
      </w:r>
      <w:r w:rsidRPr="0014347F">
        <w:rPr>
          <w:color w:val="211D1E"/>
          <w:szCs w:val="18"/>
        </w:rPr>
        <w:softHyphen/>
        <w:t xml:space="preserve">lowing parameter values: </w:t>
      </w:r>
      <w:r w:rsidRPr="0014347F">
        <w:rPr>
          <w:i/>
          <w:iCs/>
          <w:color w:val="211D1E"/>
          <w:szCs w:val="18"/>
        </w:rPr>
        <w:t>ρ</w:t>
      </w:r>
      <w:r w:rsidRPr="0014347F">
        <w:rPr>
          <w:i/>
          <w:iCs/>
          <w:color w:val="211D1E"/>
          <w:sz w:val="32"/>
          <w:szCs w:val="11"/>
          <w:vertAlign w:val="subscript"/>
        </w:rPr>
        <w:t>f</w:t>
      </w:r>
      <w:r w:rsidRPr="0014347F">
        <w:rPr>
          <w:i/>
          <w:iCs/>
          <w:color w:val="211D1E"/>
          <w:szCs w:val="11"/>
        </w:rPr>
        <w:t xml:space="preserve"> </w:t>
      </w:r>
      <w:r w:rsidRPr="0014347F">
        <w:rPr>
          <w:color w:val="211D1E"/>
          <w:szCs w:val="18"/>
        </w:rPr>
        <w:t>= 1420 kg/m</w:t>
      </w:r>
      <w:r w:rsidRPr="0014347F">
        <w:rPr>
          <w:color w:val="211D1E"/>
          <w:sz w:val="32"/>
          <w:vertAlign w:val="superscript"/>
        </w:rPr>
        <w:t>3</w:t>
      </w:r>
      <w:r w:rsidRPr="0014347F">
        <w:rPr>
          <w:color w:val="211D1E"/>
          <w:szCs w:val="18"/>
        </w:rPr>
        <w:t xml:space="preserve">, </w:t>
      </w:r>
      <w:r w:rsidRPr="0014347F">
        <w:rPr>
          <w:i/>
          <w:iCs/>
          <w:color w:val="211D1E"/>
          <w:szCs w:val="18"/>
        </w:rPr>
        <w:t>ρ</w:t>
      </w:r>
      <w:r w:rsidRPr="0014347F">
        <w:rPr>
          <w:i/>
          <w:iCs/>
          <w:color w:val="211D1E"/>
          <w:sz w:val="32"/>
          <w:szCs w:val="11"/>
          <w:vertAlign w:val="subscript"/>
        </w:rPr>
        <w:t xml:space="preserve">s </w:t>
      </w:r>
      <w:r w:rsidRPr="0014347F">
        <w:rPr>
          <w:color w:val="211D1E"/>
          <w:szCs w:val="18"/>
        </w:rPr>
        <w:t>= 7850 kg/m</w:t>
      </w:r>
      <w:r w:rsidRPr="0014347F">
        <w:rPr>
          <w:color w:val="211D1E"/>
          <w:sz w:val="32"/>
          <w:vertAlign w:val="superscript"/>
        </w:rPr>
        <w:t>3</w:t>
      </w:r>
      <w:r w:rsidRPr="0014347F">
        <w:rPr>
          <w:color w:val="211D1E"/>
          <w:szCs w:val="18"/>
        </w:rPr>
        <w:t xml:space="preserve">, </w:t>
      </w:r>
      <w:r w:rsidRPr="0014347F">
        <w:rPr>
          <w:i/>
          <w:iCs/>
          <w:color w:val="211D1E"/>
          <w:szCs w:val="18"/>
        </w:rPr>
        <w:t xml:space="preserve">r </w:t>
      </w:r>
      <w:r w:rsidRPr="0014347F">
        <w:rPr>
          <w:color w:val="211D1E"/>
          <w:szCs w:val="18"/>
        </w:rPr>
        <w:t xml:space="preserve">= 0.02 m, </w:t>
      </w:r>
      <w:r w:rsidRPr="0014347F">
        <w:rPr>
          <w:i/>
          <w:iCs/>
          <w:color w:val="211D1E"/>
          <w:szCs w:val="18"/>
        </w:rPr>
        <w:t>L</w:t>
      </w:r>
      <w:r>
        <w:rPr>
          <w:i/>
          <w:iCs/>
          <w:color w:val="211D1E"/>
          <w:szCs w:val="18"/>
        </w:rPr>
        <w:t> </w:t>
      </w:r>
      <w:r w:rsidRPr="0014347F">
        <w:rPr>
          <w:color w:val="211D1E"/>
          <w:szCs w:val="18"/>
        </w:rPr>
        <w:t xml:space="preserve">= 0.5 m, and </w:t>
      </w:r>
      <w:r w:rsidRPr="0014347F">
        <w:rPr>
          <w:i/>
          <w:iCs/>
          <w:color w:val="211D1E"/>
          <w:szCs w:val="18"/>
        </w:rPr>
        <w:t>t</w:t>
      </w:r>
      <w:r w:rsidRPr="0014347F">
        <w:rPr>
          <w:color w:val="211D1E"/>
          <w:szCs w:val="18"/>
        </w:rPr>
        <w:t>(</w:t>
      </w:r>
      <w:r w:rsidRPr="0014347F">
        <w:rPr>
          <w:i/>
          <w:iCs/>
          <w:color w:val="211D1E"/>
          <w:szCs w:val="18"/>
        </w:rPr>
        <w:t xml:space="preserve">x </w:t>
      </w:r>
      <w:r w:rsidRPr="0014347F">
        <w:rPr>
          <w:color w:val="211D1E"/>
          <w:szCs w:val="18"/>
        </w:rPr>
        <w:t xml:space="preserve">= 0.5) = 3.6 s. Check the Reynolds number (Re = </w:t>
      </w:r>
      <w:r w:rsidRPr="0014347F">
        <w:rPr>
          <w:i/>
          <w:iCs/>
          <w:color w:val="211D1E"/>
          <w:szCs w:val="18"/>
        </w:rPr>
        <w:t>ρ</w:t>
      </w:r>
      <w:r w:rsidRPr="0014347F">
        <w:rPr>
          <w:i/>
          <w:iCs/>
          <w:color w:val="211D1E"/>
          <w:sz w:val="32"/>
          <w:szCs w:val="11"/>
          <w:vertAlign w:val="subscript"/>
        </w:rPr>
        <w:t xml:space="preserve">f </w:t>
      </w:r>
      <w:r w:rsidRPr="0014347F">
        <w:rPr>
          <w:i/>
          <w:iCs/>
          <w:color w:val="211D1E"/>
          <w:szCs w:val="18"/>
        </w:rPr>
        <w:t>υd</w:t>
      </w:r>
      <w:r w:rsidRPr="0014347F">
        <w:rPr>
          <w:color w:val="211D1E"/>
          <w:szCs w:val="18"/>
        </w:rPr>
        <w:t>/</w:t>
      </w:r>
      <w:r w:rsidRPr="0014347F">
        <w:rPr>
          <w:i/>
          <w:iCs/>
          <w:color w:val="211D1E"/>
          <w:szCs w:val="18"/>
        </w:rPr>
        <w:t>μ</w:t>
      </w:r>
      <w:r w:rsidRPr="0014347F">
        <w:rPr>
          <w:color w:val="211D1E"/>
          <w:szCs w:val="18"/>
        </w:rPr>
        <w:t xml:space="preserve">, where </w:t>
      </w:r>
      <w:r w:rsidRPr="0014347F">
        <w:rPr>
          <w:i/>
          <w:iCs/>
          <w:color w:val="211D1E"/>
          <w:szCs w:val="18"/>
        </w:rPr>
        <w:t xml:space="preserve">d </w:t>
      </w:r>
      <w:r w:rsidRPr="0014347F">
        <w:rPr>
          <w:color w:val="211D1E"/>
          <w:szCs w:val="18"/>
        </w:rPr>
        <w:t>= diameter) to con</w:t>
      </w:r>
      <w:r w:rsidRPr="0014347F">
        <w:rPr>
          <w:color w:val="211D1E"/>
          <w:szCs w:val="18"/>
        </w:rPr>
        <w:softHyphen/>
        <w:t xml:space="preserve">firm that laminar conditions occurred during the experiment. </w:t>
      </w:r>
      <w:r w:rsidR="00E53F9F">
        <w:rPr>
          <w:color w:val="211D1E"/>
          <w:szCs w:val="18"/>
        </w:rPr>
        <w:t xml:space="preserve"> </w:t>
      </w:r>
      <w:r w:rsidRPr="0014347F">
        <w:rPr>
          <w:color w:val="211D1E"/>
          <w:szCs w:val="18"/>
        </w:rPr>
        <w:t xml:space="preserve">[Hint: The problem can be solved by integrating Eq. (P6.37) two times to yield an equation for </w:t>
      </w:r>
      <w:r w:rsidRPr="0014347F">
        <w:rPr>
          <w:i/>
          <w:iCs/>
          <w:color w:val="211D1E"/>
          <w:szCs w:val="18"/>
        </w:rPr>
        <w:t xml:space="preserve">x </w:t>
      </w:r>
      <w:r w:rsidRPr="0014347F">
        <w:rPr>
          <w:color w:val="211D1E"/>
          <w:szCs w:val="18"/>
        </w:rPr>
        <w:t xml:space="preserve">as a function of </w:t>
      </w:r>
      <w:r w:rsidRPr="0014347F">
        <w:rPr>
          <w:i/>
          <w:iCs/>
          <w:color w:val="211D1E"/>
          <w:szCs w:val="18"/>
        </w:rPr>
        <w:t>t</w:t>
      </w:r>
      <w:r w:rsidRPr="0014347F">
        <w:rPr>
          <w:color w:val="211D1E"/>
          <w:szCs w:val="18"/>
        </w:rPr>
        <w:t>.]</w:t>
      </w:r>
    </w:p>
    <w:p w:rsidR="00E53F9F" w:rsidRPr="00903450" w:rsidRDefault="00E53F9F" w:rsidP="00E53F9F">
      <w:pPr>
        <w:pStyle w:val="Default"/>
        <w:jc w:val="center"/>
        <w:rPr>
          <w:color w:val="211D1E"/>
        </w:rPr>
      </w:pPr>
      <w:r>
        <w:rPr>
          <w:noProof/>
          <w:color w:val="211D1E"/>
        </w:rPr>
        <w:drawing>
          <wp:inline distT="0" distB="0" distL="0" distR="0">
            <wp:extent cx="3538229" cy="2466975"/>
            <wp:effectExtent l="19050" t="0" r="5071"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9" cstate="print"/>
                    <a:srcRect/>
                    <a:stretch>
                      <a:fillRect/>
                    </a:stretch>
                  </pic:blipFill>
                  <pic:spPr bwMode="auto">
                    <a:xfrm>
                      <a:off x="0" y="0"/>
                      <a:ext cx="3538108" cy="2466891"/>
                    </a:xfrm>
                    <a:prstGeom prst="rect">
                      <a:avLst/>
                    </a:prstGeom>
                    <a:noFill/>
                    <a:ln w="9525">
                      <a:noFill/>
                      <a:miter lim="800000"/>
                      <a:headEnd/>
                      <a:tailEnd/>
                    </a:ln>
                  </pic:spPr>
                </pic:pic>
              </a:graphicData>
            </a:graphic>
          </wp:inline>
        </w:drawing>
      </w:r>
    </w:p>
    <w:sectPr w:rsidR="00E53F9F" w:rsidRPr="00903450"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06E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099"/>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2017-03-15T17:08:00Z</dcterms:created>
  <dcterms:modified xsi:type="dcterms:W3CDTF">2017-04-02T17:26:00Z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