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512B6C" w:rsidRPr="00C22979">
        <w:rPr>
          <w:b/>
          <w:noProof/>
          <w:sz w:val="20"/>
          <w:szCs w:val="20"/>
        </w:rPr>
        <w:t xml:space="preserve"> </w:t>
      </w:r>
      <w:r w:rsidR="000B1160">
        <w:rPr>
          <w:b/>
          <w:noProof/>
          <w:sz w:val="20"/>
          <w:szCs w:val="20"/>
        </w:rPr>
        <w:t>6.9</w:t>
      </w:r>
    </w:p>
    <w:p w:rsidR="00C172CF" w:rsidRPr="00C22979" w:rsidRDefault="00C172CF" w:rsidP="001B2705">
      <w:pPr>
        <w:pStyle w:val="Default"/>
        <w:rPr>
          <w:b/>
          <w:noProof/>
          <w:sz w:val="20"/>
          <w:szCs w:val="20"/>
        </w:rPr>
      </w:pPr>
    </w:p>
    <w:p w:rsidR="000B1160" w:rsidRPr="000B1160" w:rsidRDefault="000B1160" w:rsidP="000B1160">
      <w:pPr>
        <w:spacing w:after="0" w:line="240" w:lineRule="auto"/>
        <w:ind w:left="540" w:hanging="540"/>
        <w:rPr>
          <w:rFonts w:ascii="STIX" w:eastAsia="Times New Roman" w:hAnsi="STIX"/>
          <w:sz w:val="20"/>
          <w:szCs w:val="24"/>
        </w:rPr>
      </w:pPr>
      <w:r w:rsidRPr="000B1160">
        <w:rPr>
          <w:rFonts w:ascii="STIX" w:eastAsia="Times New Roman" w:hAnsi="STIX"/>
          <w:b/>
          <w:sz w:val="20"/>
          <w:szCs w:val="24"/>
        </w:rPr>
        <w:t xml:space="preserve">(a) </w:t>
      </w:r>
      <w:r w:rsidRPr="000B1160">
        <w:rPr>
          <w:rFonts w:ascii="STIX" w:eastAsia="Times New Roman" w:hAnsi="STIX"/>
          <w:sz w:val="20"/>
          <w:szCs w:val="24"/>
        </w:rPr>
        <w:t>The formula for Newton-Raphson is</w:t>
      </w:r>
    </w:p>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rPr>
          <w:rFonts w:ascii="STIX" w:eastAsia="Times New Roman" w:hAnsi="STIX"/>
          <w:sz w:val="20"/>
          <w:szCs w:val="24"/>
        </w:rPr>
      </w:pPr>
      <w:r w:rsidRPr="000B1160">
        <w:rPr>
          <w:rFonts w:ascii="STIX" w:eastAsia="Times New Roman" w:hAnsi="STIX"/>
          <w:position w:val="-32"/>
          <w:sz w:val="20"/>
          <w:szCs w:val="24"/>
        </w:rPr>
        <w:object w:dxaOrig="318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185" type="#_x0000_t75" style="width:159pt;height:38.25pt" o:ole="">
            <v:imagedata r:id="rId8" o:title=""/>
          </v:shape>
          <o:OLEObject Type="Embed" ProgID="Equation.DSMT4" ShapeID="_x0000_i5185" DrawAspect="Content" ObjectID="_1552373678" r:id="rId9"/>
        </w:object>
      </w:r>
    </w:p>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rPr>
          <w:rFonts w:ascii="STIX" w:eastAsia="Times New Roman" w:hAnsi="STIX"/>
          <w:sz w:val="20"/>
          <w:szCs w:val="24"/>
        </w:rPr>
      </w:pPr>
      <w:r w:rsidRPr="000B1160">
        <w:rPr>
          <w:rFonts w:ascii="STIX" w:eastAsia="Times New Roman" w:hAnsi="STIX"/>
          <w:sz w:val="20"/>
          <w:szCs w:val="24"/>
        </w:rPr>
        <w:t>Using an initial guess of 4.5, the iterations proceed as</w:t>
      </w:r>
    </w:p>
    <w:p w:rsidR="000B1160" w:rsidRPr="000B1160" w:rsidRDefault="000B1160" w:rsidP="000B1160">
      <w:pPr>
        <w:spacing w:after="0" w:line="240" w:lineRule="auto"/>
        <w:rPr>
          <w:rFonts w:ascii="STIX" w:eastAsia="Times New Roman" w:hAnsi="STIX"/>
          <w:sz w:val="20"/>
          <w:szCs w:val="24"/>
        </w:rPr>
      </w:pPr>
    </w:p>
    <w:tbl>
      <w:tblPr>
        <w:tblW w:w="5400" w:type="dxa"/>
        <w:tblInd w:w="648" w:type="dxa"/>
        <w:tblLook w:val="0000"/>
      </w:tblPr>
      <w:tblGrid>
        <w:gridCol w:w="990"/>
        <w:gridCol w:w="1080"/>
        <w:gridCol w:w="1170"/>
        <w:gridCol w:w="1080"/>
        <w:gridCol w:w="1080"/>
      </w:tblGrid>
      <w:tr w:rsidR="000B1160" w:rsidRPr="000B1160" w:rsidTr="00FF7247">
        <w:trPr>
          <w:trHeight w:val="144"/>
        </w:trPr>
        <w:tc>
          <w:tcPr>
            <w:tcW w:w="990" w:type="dxa"/>
            <w:tcBorders>
              <w:top w:val="single" w:sz="12" w:space="0" w:color="auto"/>
              <w:left w:val="nil"/>
              <w:bottom w:val="single" w:sz="4" w:space="0" w:color="auto"/>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18"/>
                <w:szCs w:val="18"/>
              </w:rPr>
            </w:pPr>
            <w:r w:rsidRPr="000B1160">
              <w:rPr>
                <w:rFonts w:ascii="STIX" w:eastAsia="Times New Roman" w:hAnsi="STIX" w:cs="STIX MathJax Main"/>
                <w:b/>
                <w:sz w:val="18"/>
                <w:szCs w:val="18"/>
              </w:rPr>
              <w:t>iteration</w:t>
            </w:r>
          </w:p>
        </w:tc>
        <w:tc>
          <w:tcPr>
            <w:tcW w:w="1080" w:type="dxa"/>
            <w:tcBorders>
              <w:top w:val="single" w:sz="12" w:space="0" w:color="auto"/>
              <w:left w:val="nil"/>
              <w:bottom w:val="single" w:sz="4" w:space="0" w:color="auto"/>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i/>
                <w:sz w:val="20"/>
                <w:szCs w:val="18"/>
              </w:rPr>
            </w:pPr>
            <w:r w:rsidRPr="000B1160">
              <w:rPr>
                <w:rFonts w:ascii="STIX" w:eastAsia="Times New Roman" w:hAnsi="STIX" w:cs="STIX MathJax Main"/>
                <w:b/>
                <w:i/>
                <w:sz w:val="20"/>
                <w:szCs w:val="18"/>
              </w:rPr>
              <w:t>x</w:t>
            </w:r>
            <w:r w:rsidRPr="000B1160">
              <w:rPr>
                <w:rFonts w:ascii="STIX" w:eastAsia="Times New Roman" w:hAnsi="STIX" w:cs="STIX MathJax Main"/>
                <w:b/>
                <w:i/>
                <w:sz w:val="20"/>
                <w:szCs w:val="18"/>
                <w:vertAlign w:val="subscript"/>
              </w:rPr>
              <w:t>i</w:t>
            </w:r>
          </w:p>
        </w:tc>
        <w:tc>
          <w:tcPr>
            <w:tcW w:w="1170" w:type="dxa"/>
            <w:tcBorders>
              <w:top w:val="single" w:sz="12" w:space="0" w:color="auto"/>
              <w:left w:val="nil"/>
              <w:bottom w:val="single" w:sz="4" w:space="0" w:color="auto"/>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20"/>
                <w:szCs w:val="18"/>
              </w:rPr>
            </w:pPr>
            <w:r w:rsidRPr="000B1160">
              <w:rPr>
                <w:rFonts w:ascii="STIX" w:eastAsia="Times New Roman" w:hAnsi="STIX" w:cs="STIX MathJax Main"/>
                <w:b/>
                <w:i/>
                <w:sz w:val="20"/>
                <w:szCs w:val="18"/>
              </w:rPr>
              <w:t>f</w:t>
            </w:r>
            <w:r w:rsidRPr="000B1160">
              <w:rPr>
                <w:rFonts w:ascii="Courier New" w:eastAsia="Times New Roman" w:hAnsi="Courier New" w:cs="STIX MathJax Main"/>
                <w:b/>
                <w:sz w:val="20"/>
                <w:szCs w:val="18"/>
              </w:rPr>
              <w:t>(</w:t>
            </w:r>
            <w:r w:rsidRPr="000B1160">
              <w:rPr>
                <w:rFonts w:ascii="STIX" w:eastAsia="Times New Roman" w:hAnsi="STIX" w:cs="STIX MathJax Main"/>
                <w:b/>
                <w:i/>
                <w:sz w:val="20"/>
                <w:szCs w:val="18"/>
              </w:rPr>
              <w:t>x</w:t>
            </w:r>
            <w:r w:rsidRPr="000B1160">
              <w:rPr>
                <w:rFonts w:ascii="STIX" w:eastAsia="Times New Roman" w:hAnsi="STIX" w:cs="STIX MathJax Main"/>
                <w:b/>
                <w:i/>
                <w:sz w:val="20"/>
                <w:szCs w:val="18"/>
                <w:vertAlign w:val="subscript"/>
              </w:rPr>
              <w:t>i</w:t>
            </w:r>
            <w:r w:rsidRPr="000B1160">
              <w:rPr>
                <w:rFonts w:ascii="Courier New" w:eastAsia="Times New Roman" w:hAnsi="Courier New" w:cs="STIX MathJax Main"/>
                <w:b/>
                <w:sz w:val="20"/>
                <w:szCs w:val="18"/>
              </w:rPr>
              <w:t>)</w:t>
            </w:r>
          </w:p>
        </w:tc>
        <w:tc>
          <w:tcPr>
            <w:tcW w:w="1080" w:type="dxa"/>
            <w:tcBorders>
              <w:top w:val="single" w:sz="12" w:space="0" w:color="auto"/>
              <w:left w:val="nil"/>
              <w:bottom w:val="single" w:sz="4" w:space="0" w:color="auto"/>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20"/>
                <w:szCs w:val="18"/>
              </w:rPr>
            </w:pPr>
            <w:r w:rsidRPr="000B1160">
              <w:rPr>
                <w:rFonts w:ascii="STIX" w:eastAsia="Times New Roman" w:hAnsi="STIX" w:cs="STIX MathJax Main"/>
                <w:b/>
                <w:i/>
                <w:sz w:val="20"/>
                <w:szCs w:val="18"/>
              </w:rPr>
              <w:t>f</w:t>
            </w:r>
            <w:r w:rsidRPr="000B1160">
              <w:rPr>
                <w:rFonts w:ascii="Courier New" w:eastAsia="Times New Roman" w:hAnsi="Courier New" w:cs="STIX MathJax Main"/>
                <w:b/>
                <w:sz w:val="20"/>
                <w:szCs w:val="18"/>
              </w:rPr>
              <w:t>'(</w:t>
            </w:r>
            <w:r w:rsidRPr="000B1160">
              <w:rPr>
                <w:rFonts w:ascii="STIX" w:eastAsia="Times New Roman" w:hAnsi="STIX" w:cs="STIX MathJax Main"/>
                <w:b/>
                <w:i/>
                <w:sz w:val="20"/>
                <w:szCs w:val="18"/>
              </w:rPr>
              <w:t>x</w:t>
            </w:r>
            <w:r w:rsidRPr="000B1160">
              <w:rPr>
                <w:rFonts w:ascii="STIX" w:eastAsia="Times New Roman" w:hAnsi="STIX" w:cs="STIX MathJax Main"/>
                <w:b/>
                <w:i/>
                <w:sz w:val="20"/>
                <w:szCs w:val="18"/>
                <w:vertAlign w:val="subscript"/>
              </w:rPr>
              <w:t>i</w:t>
            </w:r>
            <w:r w:rsidRPr="000B1160">
              <w:rPr>
                <w:rFonts w:ascii="Courier New" w:eastAsia="Times New Roman" w:hAnsi="Courier New" w:cs="STIX MathJax Main"/>
                <w:b/>
                <w:sz w:val="20"/>
                <w:szCs w:val="18"/>
              </w:rPr>
              <w:t>)</w:t>
            </w:r>
          </w:p>
        </w:tc>
        <w:tc>
          <w:tcPr>
            <w:tcW w:w="1080" w:type="dxa"/>
            <w:tcBorders>
              <w:top w:val="single" w:sz="12" w:space="0" w:color="auto"/>
              <w:left w:val="nil"/>
              <w:bottom w:val="single" w:sz="4" w:space="0" w:color="auto"/>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20"/>
                <w:szCs w:val="18"/>
              </w:rPr>
            </w:pPr>
            <w:r w:rsidRPr="000B1160">
              <w:rPr>
                <w:rFonts w:ascii="Courier New" w:eastAsia="Times New Roman" w:hAnsi="Courier New" w:cs="STIX MathJax Main"/>
                <w:b/>
                <w:sz w:val="20"/>
                <w:szCs w:val="20"/>
              </w:rPr>
              <w:sym w:font="Symbol" w:char="F07C"/>
            </w:r>
            <w:r w:rsidRPr="000B1160">
              <w:rPr>
                <w:rFonts w:ascii="Courier New" w:eastAsia="Times New Roman" w:hAnsi="Courier New" w:cs="STIX MathJax Main"/>
                <w:b/>
                <w:i/>
                <w:sz w:val="20"/>
                <w:szCs w:val="20"/>
              </w:rPr>
              <w:sym w:font="Symbol" w:char="F065"/>
            </w:r>
            <w:r w:rsidRPr="000B1160">
              <w:rPr>
                <w:rFonts w:ascii="STIX" w:eastAsia="Times New Roman" w:hAnsi="STIX" w:cs="STIX MathJax Main"/>
                <w:b/>
                <w:i/>
                <w:sz w:val="20"/>
                <w:szCs w:val="18"/>
                <w:vertAlign w:val="subscript"/>
              </w:rPr>
              <w:t>a</w:t>
            </w:r>
            <w:r w:rsidRPr="000B1160">
              <w:rPr>
                <w:rFonts w:ascii="Courier New" w:eastAsia="Times New Roman" w:hAnsi="Courier New" w:cs="STIX MathJax Main"/>
                <w:b/>
                <w:sz w:val="20"/>
                <w:szCs w:val="20"/>
              </w:rPr>
              <w:sym w:font="Symbol" w:char="F07C"/>
            </w:r>
          </w:p>
        </w:tc>
      </w:tr>
      <w:tr w:rsidR="000B1160" w:rsidRPr="000B1160" w:rsidTr="00FF7247">
        <w:trPr>
          <w:trHeight w:val="144"/>
        </w:trPr>
        <w:tc>
          <w:tcPr>
            <w:tcW w:w="990" w:type="dxa"/>
            <w:tcBorders>
              <w:top w:val="single" w:sz="4" w:space="0" w:color="auto"/>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0</w:t>
            </w:r>
          </w:p>
        </w:tc>
        <w:tc>
          <w:tcPr>
            <w:tcW w:w="1080" w:type="dxa"/>
            <w:tcBorders>
              <w:top w:val="single" w:sz="4" w:space="0" w:color="auto"/>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4.5</w:t>
            </w:r>
          </w:p>
        </w:tc>
        <w:tc>
          <w:tcPr>
            <w:tcW w:w="1170" w:type="dxa"/>
            <w:tcBorders>
              <w:top w:val="single" w:sz="4" w:space="0" w:color="auto"/>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sym w:font="Symbol" w:char="F02D"/>
            </w:r>
            <w:r w:rsidRPr="000B1160">
              <w:rPr>
                <w:rFonts w:ascii="STIX" w:eastAsia="Times New Roman" w:hAnsi="STIX" w:cs="STIX MathJax Main"/>
                <w:sz w:val="18"/>
                <w:szCs w:val="18"/>
              </w:rPr>
              <w:t>10.4375</w:t>
            </w:r>
          </w:p>
        </w:tc>
        <w:tc>
          <w:tcPr>
            <w:tcW w:w="1080" w:type="dxa"/>
            <w:tcBorders>
              <w:top w:val="single" w:sz="4" w:space="0" w:color="auto"/>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0.375</w:t>
            </w:r>
          </w:p>
        </w:tc>
        <w:tc>
          <w:tcPr>
            <w:tcW w:w="1080" w:type="dxa"/>
            <w:tcBorders>
              <w:top w:val="single" w:sz="4" w:space="0" w:color="auto"/>
              <w:left w:val="nil"/>
              <w:bottom w:val="nil"/>
              <w:right w:val="nil"/>
            </w:tcBorders>
            <w:noWrap/>
            <w:vAlign w:val="center"/>
          </w:tcPr>
          <w:p w:rsidR="000B1160" w:rsidRPr="000B1160" w:rsidRDefault="000B1160" w:rsidP="000B1160">
            <w:pPr>
              <w:spacing w:after="0" w:line="240" w:lineRule="auto"/>
              <w:rPr>
                <w:rFonts w:ascii="STIX MathJax Main" w:eastAsia="Times New Roman" w:hAnsi="STIX MathJax Main" w:cs="STIX MathJax Main"/>
                <w:sz w:val="18"/>
                <w:szCs w:val="18"/>
              </w:rPr>
            </w:pP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1</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32.333330</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12911.57</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1315.5</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86.082</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2</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22.518380</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3814.08</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586.469</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43.586</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3</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16.014910</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1121.912</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262.5968</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40.609</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4</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11.742540</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326.4795</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118.8906</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36.384</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5</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8.996489</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92.30526</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55.43331</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30.524</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6</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7.331330</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24.01802</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27.97196</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22.713</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7</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6.472684</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4.842169</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17.06199</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13.266</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8</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6.188886</w:t>
            </w:r>
          </w:p>
        </w:tc>
        <w:tc>
          <w:tcPr>
            <w:tcW w:w="117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0.448386</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13.94237</w:t>
            </w:r>
          </w:p>
        </w:tc>
        <w:tc>
          <w:tcPr>
            <w:tcW w:w="1080" w:type="dxa"/>
            <w:tcBorders>
              <w:top w:val="nil"/>
              <w:left w:val="nil"/>
              <w:bottom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4.586</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9</w:t>
            </w:r>
          </w:p>
        </w:tc>
        <w:tc>
          <w:tcPr>
            <w:tcW w:w="1080" w:type="dxa"/>
            <w:tcBorders>
              <w:top w:val="nil"/>
              <w:left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6.156726</w:t>
            </w:r>
          </w:p>
        </w:tc>
        <w:tc>
          <w:tcPr>
            <w:tcW w:w="1170" w:type="dxa"/>
            <w:tcBorders>
              <w:top w:val="nil"/>
              <w:left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0.005448</w:t>
            </w:r>
          </w:p>
        </w:tc>
        <w:tc>
          <w:tcPr>
            <w:tcW w:w="1080" w:type="dxa"/>
            <w:tcBorders>
              <w:top w:val="nil"/>
              <w:left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13.6041</w:t>
            </w:r>
          </w:p>
        </w:tc>
        <w:tc>
          <w:tcPr>
            <w:tcW w:w="1080" w:type="dxa"/>
            <w:tcBorders>
              <w:top w:val="nil"/>
              <w:left w:val="nil"/>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0.522</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top w:val="nil"/>
              <w:left w:val="nil"/>
              <w:bottom w:val="single" w:sz="12" w:space="0" w:color="auto"/>
              <w:right w:val="nil"/>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10</w:t>
            </w:r>
          </w:p>
        </w:tc>
        <w:tc>
          <w:tcPr>
            <w:tcW w:w="1080" w:type="dxa"/>
            <w:tcBorders>
              <w:top w:val="nil"/>
              <w:left w:val="nil"/>
              <w:bottom w:val="single" w:sz="12" w:space="0" w:color="auto"/>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6.156325</w:t>
            </w:r>
          </w:p>
        </w:tc>
        <w:tc>
          <w:tcPr>
            <w:tcW w:w="1170" w:type="dxa"/>
            <w:tcBorders>
              <w:top w:val="nil"/>
              <w:left w:val="nil"/>
              <w:bottom w:val="single" w:sz="12" w:space="0" w:color="auto"/>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8.39E</w:t>
            </w:r>
            <w:r w:rsidRPr="000B1160">
              <w:rPr>
                <w:rFonts w:ascii="Courier New" w:eastAsia="Times New Roman" w:hAnsi="Courier New" w:cs="STIX MathJax Main"/>
                <w:sz w:val="18"/>
                <w:szCs w:val="18"/>
              </w:rPr>
              <w:sym w:font="Symbol" w:char="F02D"/>
            </w:r>
            <w:r w:rsidRPr="000B1160">
              <w:rPr>
                <w:rFonts w:ascii="STIX" w:eastAsia="Times New Roman" w:hAnsi="STIX" w:cs="STIX MathJax Main"/>
                <w:sz w:val="18"/>
                <w:szCs w:val="18"/>
              </w:rPr>
              <w:t>07</w:t>
            </w:r>
          </w:p>
        </w:tc>
        <w:tc>
          <w:tcPr>
            <w:tcW w:w="1080" w:type="dxa"/>
            <w:tcBorders>
              <w:top w:val="nil"/>
              <w:left w:val="nil"/>
              <w:bottom w:val="single" w:sz="12" w:space="0" w:color="auto"/>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13.59991</w:t>
            </w:r>
          </w:p>
        </w:tc>
        <w:tc>
          <w:tcPr>
            <w:tcW w:w="1080" w:type="dxa"/>
            <w:tcBorders>
              <w:top w:val="nil"/>
              <w:left w:val="nil"/>
              <w:bottom w:val="single" w:sz="12" w:space="0" w:color="auto"/>
              <w:right w:val="nil"/>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0.007</w:t>
            </w:r>
            <w:r w:rsidRPr="000B1160">
              <w:rPr>
                <w:rFonts w:ascii="Courier New" w:eastAsia="Times New Roman" w:hAnsi="Courier New" w:cs="STIX MathJax Main"/>
                <w:sz w:val="18"/>
                <w:szCs w:val="18"/>
              </w:rPr>
              <w:t>%</w:t>
            </w:r>
          </w:p>
        </w:tc>
      </w:tr>
    </w:tbl>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rPr>
          <w:rFonts w:ascii="STIX" w:eastAsia="Times New Roman" w:hAnsi="STIX"/>
          <w:sz w:val="20"/>
          <w:szCs w:val="24"/>
        </w:rPr>
      </w:pPr>
      <w:r w:rsidRPr="000B1160">
        <w:rPr>
          <w:rFonts w:ascii="STIX" w:eastAsia="Times New Roman" w:hAnsi="STIX"/>
          <w:sz w:val="20"/>
          <w:szCs w:val="24"/>
        </w:rPr>
        <w:t xml:space="preserve">Thus, after an initial jump, the computation eventually settles down and converges on a root at </w:t>
      </w:r>
      <w:r w:rsidRPr="000B1160">
        <w:rPr>
          <w:rFonts w:ascii="STIX" w:eastAsia="Times New Roman" w:hAnsi="STIX"/>
          <w:i/>
          <w:sz w:val="20"/>
          <w:szCs w:val="24"/>
        </w:rPr>
        <w:t>x</w:t>
      </w:r>
      <w:r w:rsidRPr="000B1160">
        <w:rPr>
          <w:rFonts w:ascii="STIX" w:eastAsia="Times New Roman" w:hAnsi="STIX"/>
          <w:sz w:val="20"/>
          <w:szCs w:val="24"/>
        </w:rPr>
        <w:t xml:space="preserve"> </w:t>
      </w:r>
      <w:r w:rsidRPr="000B1160">
        <w:rPr>
          <w:rFonts w:ascii="Courier New" w:eastAsia="Times New Roman" w:hAnsi="Courier New"/>
          <w:sz w:val="20"/>
          <w:szCs w:val="24"/>
        </w:rPr>
        <w:t>=</w:t>
      </w:r>
      <w:r w:rsidRPr="000B1160">
        <w:rPr>
          <w:rFonts w:ascii="STIX" w:eastAsia="Times New Roman" w:hAnsi="STIX"/>
          <w:sz w:val="20"/>
          <w:szCs w:val="24"/>
        </w:rPr>
        <w:t xml:space="preserve"> 6.156325.</w:t>
      </w:r>
    </w:p>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rPr>
          <w:rFonts w:ascii="STIX" w:eastAsia="Times New Roman" w:hAnsi="STIX"/>
          <w:sz w:val="20"/>
          <w:szCs w:val="24"/>
        </w:rPr>
      </w:pPr>
      <w:r w:rsidRPr="000B1160">
        <w:rPr>
          <w:rFonts w:ascii="STIX" w:eastAsia="Times New Roman" w:hAnsi="STIX"/>
          <w:b/>
          <w:sz w:val="20"/>
          <w:szCs w:val="24"/>
        </w:rPr>
        <w:t>(b)</w:t>
      </w:r>
      <w:r w:rsidRPr="000B1160">
        <w:rPr>
          <w:rFonts w:ascii="STIX" w:eastAsia="Times New Roman" w:hAnsi="STIX"/>
          <w:sz w:val="20"/>
          <w:szCs w:val="24"/>
        </w:rPr>
        <w:t xml:space="preserve"> Using an initial guess of 4.43, the iterations proceed as</w:t>
      </w:r>
    </w:p>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rPr>
          <w:rFonts w:ascii="STIX" w:eastAsia="Times New Roman" w:hAnsi="STIX"/>
          <w:sz w:val="20"/>
          <w:szCs w:val="24"/>
        </w:rPr>
      </w:pPr>
    </w:p>
    <w:tbl>
      <w:tblPr>
        <w:tblW w:w="5665" w:type="dxa"/>
        <w:tblInd w:w="648" w:type="dxa"/>
        <w:tblLook w:val="0000"/>
      </w:tblPr>
      <w:tblGrid>
        <w:gridCol w:w="990"/>
        <w:gridCol w:w="1170"/>
        <w:gridCol w:w="1170"/>
        <w:gridCol w:w="1106"/>
        <w:gridCol w:w="1229"/>
      </w:tblGrid>
      <w:tr w:rsidR="000B1160" w:rsidRPr="000B1160" w:rsidTr="00FF7247">
        <w:trPr>
          <w:trHeight w:val="144"/>
        </w:trPr>
        <w:tc>
          <w:tcPr>
            <w:tcW w:w="990" w:type="dxa"/>
            <w:tcBorders>
              <w:top w:val="single" w:sz="12" w:space="0" w:color="auto"/>
              <w:bottom w:val="single" w:sz="6" w:space="0" w:color="auto"/>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18"/>
                <w:szCs w:val="18"/>
              </w:rPr>
            </w:pPr>
            <w:r w:rsidRPr="000B1160">
              <w:rPr>
                <w:rFonts w:ascii="STIX" w:eastAsia="Times New Roman" w:hAnsi="STIX" w:cs="STIX MathJax Main"/>
                <w:b/>
                <w:sz w:val="18"/>
                <w:szCs w:val="18"/>
              </w:rPr>
              <w:t>iteration</w:t>
            </w:r>
          </w:p>
        </w:tc>
        <w:tc>
          <w:tcPr>
            <w:tcW w:w="1170" w:type="dxa"/>
            <w:tcBorders>
              <w:top w:val="single" w:sz="12" w:space="0" w:color="auto"/>
              <w:bottom w:val="single" w:sz="6" w:space="0" w:color="auto"/>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i/>
                <w:sz w:val="20"/>
                <w:szCs w:val="18"/>
              </w:rPr>
            </w:pPr>
            <w:r w:rsidRPr="000B1160">
              <w:rPr>
                <w:rFonts w:ascii="STIX" w:eastAsia="Times New Roman" w:hAnsi="STIX" w:cs="STIX MathJax Main"/>
                <w:b/>
                <w:i/>
                <w:sz w:val="20"/>
                <w:szCs w:val="18"/>
              </w:rPr>
              <w:t>x</w:t>
            </w:r>
            <w:r w:rsidRPr="000B1160">
              <w:rPr>
                <w:rFonts w:ascii="STIX" w:eastAsia="Times New Roman" w:hAnsi="STIX" w:cs="STIX MathJax Main"/>
                <w:b/>
                <w:i/>
                <w:sz w:val="20"/>
                <w:szCs w:val="18"/>
                <w:vertAlign w:val="subscript"/>
              </w:rPr>
              <w:t>i</w:t>
            </w:r>
          </w:p>
        </w:tc>
        <w:tc>
          <w:tcPr>
            <w:tcW w:w="1170" w:type="dxa"/>
            <w:tcBorders>
              <w:top w:val="single" w:sz="12" w:space="0" w:color="auto"/>
              <w:bottom w:val="single" w:sz="6" w:space="0" w:color="auto"/>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20"/>
                <w:szCs w:val="18"/>
              </w:rPr>
            </w:pPr>
            <w:r w:rsidRPr="000B1160">
              <w:rPr>
                <w:rFonts w:ascii="STIX" w:eastAsia="Times New Roman" w:hAnsi="STIX" w:cs="STIX MathJax Main"/>
                <w:b/>
                <w:i/>
                <w:sz w:val="20"/>
                <w:szCs w:val="18"/>
              </w:rPr>
              <w:t>f</w:t>
            </w:r>
            <w:r w:rsidRPr="000B1160">
              <w:rPr>
                <w:rFonts w:ascii="Courier New" w:eastAsia="Times New Roman" w:hAnsi="Courier New" w:cs="STIX MathJax Main"/>
                <w:b/>
                <w:sz w:val="20"/>
                <w:szCs w:val="18"/>
              </w:rPr>
              <w:t>(</w:t>
            </w:r>
            <w:r w:rsidRPr="000B1160">
              <w:rPr>
                <w:rFonts w:ascii="STIX" w:eastAsia="Times New Roman" w:hAnsi="STIX" w:cs="STIX MathJax Main"/>
                <w:b/>
                <w:i/>
                <w:sz w:val="20"/>
                <w:szCs w:val="18"/>
              </w:rPr>
              <w:t>x</w:t>
            </w:r>
            <w:r w:rsidRPr="000B1160">
              <w:rPr>
                <w:rFonts w:ascii="STIX" w:eastAsia="Times New Roman" w:hAnsi="STIX" w:cs="STIX MathJax Main"/>
                <w:b/>
                <w:i/>
                <w:sz w:val="20"/>
                <w:szCs w:val="18"/>
                <w:vertAlign w:val="subscript"/>
              </w:rPr>
              <w:t>i</w:t>
            </w:r>
            <w:r w:rsidRPr="000B1160">
              <w:rPr>
                <w:rFonts w:ascii="Courier New" w:eastAsia="Times New Roman" w:hAnsi="Courier New" w:cs="STIX MathJax Main"/>
                <w:b/>
                <w:sz w:val="20"/>
                <w:szCs w:val="18"/>
              </w:rPr>
              <w:t>)</w:t>
            </w:r>
          </w:p>
        </w:tc>
        <w:tc>
          <w:tcPr>
            <w:tcW w:w="1106" w:type="dxa"/>
            <w:tcBorders>
              <w:top w:val="single" w:sz="12" w:space="0" w:color="auto"/>
              <w:bottom w:val="single" w:sz="6" w:space="0" w:color="auto"/>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20"/>
                <w:szCs w:val="18"/>
              </w:rPr>
            </w:pPr>
            <w:r w:rsidRPr="000B1160">
              <w:rPr>
                <w:rFonts w:ascii="STIX" w:eastAsia="Times New Roman" w:hAnsi="STIX" w:cs="STIX MathJax Main"/>
                <w:b/>
                <w:i/>
                <w:sz w:val="20"/>
                <w:szCs w:val="18"/>
              </w:rPr>
              <w:t>f</w:t>
            </w:r>
            <w:r w:rsidRPr="000B1160">
              <w:rPr>
                <w:rFonts w:ascii="Courier New" w:eastAsia="Times New Roman" w:hAnsi="Courier New" w:cs="STIX MathJax Main"/>
                <w:b/>
                <w:sz w:val="20"/>
                <w:szCs w:val="18"/>
              </w:rPr>
              <w:t>'(</w:t>
            </w:r>
            <w:r w:rsidRPr="000B1160">
              <w:rPr>
                <w:rFonts w:ascii="STIX" w:eastAsia="Times New Roman" w:hAnsi="STIX" w:cs="STIX MathJax Main"/>
                <w:b/>
                <w:i/>
                <w:sz w:val="20"/>
                <w:szCs w:val="18"/>
              </w:rPr>
              <w:t>x</w:t>
            </w:r>
            <w:r w:rsidRPr="000B1160">
              <w:rPr>
                <w:rFonts w:ascii="STIX" w:eastAsia="Times New Roman" w:hAnsi="STIX" w:cs="STIX MathJax Main"/>
                <w:b/>
                <w:i/>
                <w:sz w:val="20"/>
                <w:szCs w:val="18"/>
                <w:vertAlign w:val="subscript"/>
              </w:rPr>
              <w:t>i</w:t>
            </w:r>
            <w:r w:rsidRPr="000B1160">
              <w:rPr>
                <w:rFonts w:ascii="Courier New" w:eastAsia="Times New Roman" w:hAnsi="Courier New" w:cs="STIX MathJax Main"/>
                <w:b/>
                <w:sz w:val="20"/>
                <w:szCs w:val="18"/>
              </w:rPr>
              <w:t>)</w:t>
            </w:r>
          </w:p>
        </w:tc>
        <w:tc>
          <w:tcPr>
            <w:tcW w:w="1229" w:type="dxa"/>
            <w:tcBorders>
              <w:top w:val="single" w:sz="12" w:space="0" w:color="auto"/>
              <w:bottom w:val="single" w:sz="6" w:space="0" w:color="auto"/>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b/>
                <w:sz w:val="18"/>
                <w:szCs w:val="18"/>
              </w:rPr>
            </w:pPr>
            <w:r w:rsidRPr="000B1160">
              <w:rPr>
                <w:rFonts w:ascii="Courier New" w:eastAsia="Times New Roman" w:hAnsi="Courier New" w:cs="STIX MathJax Main"/>
                <w:b/>
                <w:sz w:val="18"/>
                <w:szCs w:val="18"/>
              </w:rPr>
              <w:sym w:font="Symbol" w:char="F07C"/>
            </w:r>
            <w:r w:rsidRPr="000B1160">
              <w:rPr>
                <w:rFonts w:ascii="Courier New" w:eastAsia="Times New Roman" w:hAnsi="Courier New" w:cs="STIX MathJax Main"/>
                <w:b/>
                <w:i/>
                <w:sz w:val="18"/>
                <w:szCs w:val="18"/>
              </w:rPr>
              <w:sym w:font="Symbol" w:char="F065"/>
            </w:r>
            <w:r w:rsidRPr="000B1160">
              <w:rPr>
                <w:rFonts w:ascii="STIX" w:eastAsia="Times New Roman" w:hAnsi="STIX" w:cs="STIX MathJax Main"/>
                <w:b/>
                <w:i/>
                <w:sz w:val="18"/>
                <w:szCs w:val="18"/>
                <w:vertAlign w:val="subscript"/>
              </w:rPr>
              <w:t>a</w:t>
            </w:r>
            <w:r w:rsidRPr="000B1160">
              <w:rPr>
                <w:rFonts w:ascii="Courier New" w:eastAsia="Times New Roman" w:hAnsi="Courier New" w:cs="STIX MathJax Main"/>
                <w:b/>
                <w:sz w:val="18"/>
                <w:szCs w:val="18"/>
              </w:rPr>
              <w:sym w:font="Symbol" w:char="F07C"/>
            </w:r>
          </w:p>
        </w:tc>
      </w:tr>
      <w:tr w:rsidR="000B1160" w:rsidRPr="000B1160" w:rsidTr="00FF7247">
        <w:trPr>
          <w:trHeight w:val="144"/>
        </w:trPr>
        <w:tc>
          <w:tcPr>
            <w:tcW w:w="990" w:type="dxa"/>
            <w:tcBorders>
              <w:top w:val="single" w:sz="6" w:space="0" w:color="auto"/>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0</w:t>
            </w:r>
          </w:p>
        </w:tc>
        <w:tc>
          <w:tcPr>
            <w:tcW w:w="1170" w:type="dxa"/>
            <w:tcBorders>
              <w:top w:val="single" w:sz="6" w:space="0" w:color="auto"/>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4.43</w:t>
            </w:r>
          </w:p>
        </w:tc>
        <w:tc>
          <w:tcPr>
            <w:tcW w:w="1170" w:type="dxa"/>
            <w:tcBorders>
              <w:top w:val="single" w:sz="6" w:space="0" w:color="auto"/>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10.4504</w:t>
            </w:r>
          </w:p>
        </w:tc>
        <w:tc>
          <w:tcPr>
            <w:tcW w:w="1106" w:type="dxa"/>
            <w:tcBorders>
              <w:top w:val="single" w:sz="6" w:space="0" w:color="auto"/>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0.00265</w:t>
            </w:r>
          </w:p>
        </w:tc>
        <w:tc>
          <w:tcPr>
            <w:tcW w:w="1229" w:type="dxa"/>
            <w:tcBorders>
              <w:top w:val="single" w:sz="6" w:space="0" w:color="auto"/>
            </w:tcBorders>
            <w:noWrap/>
            <w:vAlign w:val="center"/>
          </w:tcPr>
          <w:p w:rsidR="000B1160" w:rsidRPr="000B1160" w:rsidRDefault="000B1160" w:rsidP="000B1160">
            <w:pPr>
              <w:spacing w:after="0" w:line="240" w:lineRule="auto"/>
              <w:rPr>
                <w:rFonts w:ascii="STIX MathJax Main" w:eastAsia="Times New Roman" w:hAnsi="STIX MathJax Main" w:cs="STIX MathJax Main"/>
                <w:sz w:val="18"/>
                <w:szCs w:val="18"/>
              </w:rPr>
            </w:pP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1</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3939.13</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3.1E</w:t>
            </w: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10</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23306693</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100.112</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2</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2625.2</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9.1E</w:t>
            </w: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09</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10358532</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50.051</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3</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1749.25</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2.7E</w:t>
            </w: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09</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4603793</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50.076</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4</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1165.28</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8E</w:t>
            </w: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08</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2046132</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50.114</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5</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775.964</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2.4E</w:t>
            </w: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08</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909393.5</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50.171</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w:eastAsia="Times New Roman" w:hAnsi="STIX" w:cs="STIX MathJax Main"/>
                <w:sz w:val="18"/>
                <w:szCs w:val="18"/>
              </w:rPr>
            </w:pPr>
            <w:r w:rsidRPr="000B1160">
              <w:rPr>
                <w:rFonts w:ascii="STIX" w:eastAsia="Times New Roman" w:hAnsi="STIX" w:cs="STIX MathJax Main"/>
                <w:sz w:val="18"/>
                <w:szCs w:val="18"/>
              </w:rPr>
              <w:sym w:font="Symbol" w:char="F0D7"/>
            </w:r>
          </w:p>
          <w:p w:rsidR="000B1160" w:rsidRPr="000B1160" w:rsidRDefault="000B1160" w:rsidP="000B1160">
            <w:pPr>
              <w:spacing w:after="0" w:line="240" w:lineRule="auto"/>
              <w:jc w:val="center"/>
              <w:rPr>
                <w:rFonts w:ascii="STIX" w:eastAsia="Times New Roman" w:hAnsi="STIX" w:cs="STIX MathJax Main"/>
                <w:sz w:val="18"/>
                <w:szCs w:val="18"/>
              </w:rPr>
            </w:pPr>
            <w:r w:rsidRPr="000B1160">
              <w:rPr>
                <w:rFonts w:ascii="STIX" w:eastAsia="Times New Roman" w:hAnsi="STIX" w:cs="STIX MathJax Main"/>
                <w:sz w:val="18"/>
                <w:szCs w:val="18"/>
              </w:rPr>
              <w:sym w:font="Symbol" w:char="F0D7"/>
            </w:r>
          </w:p>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sym w:font="Symbol" w:char="F0D7"/>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21</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0.325261</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0.45441</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3.556607</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105.549</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22</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0.453025</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0.05629</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2.683645</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28.203</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23</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0.474</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0.00146</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2.545015</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4.425</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24</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0.474572</w:t>
            </w:r>
          </w:p>
        </w:tc>
        <w:tc>
          <w:tcPr>
            <w:tcW w:w="1170"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1.1E</w:t>
            </w: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06</w:t>
            </w:r>
          </w:p>
        </w:tc>
        <w:tc>
          <w:tcPr>
            <w:tcW w:w="1106"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2.541252</w:t>
            </w:r>
          </w:p>
        </w:tc>
        <w:tc>
          <w:tcPr>
            <w:tcW w:w="1229" w:type="dxa"/>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0.121</w:t>
            </w:r>
            <w:r w:rsidRPr="000B1160">
              <w:rPr>
                <w:rFonts w:ascii="Courier New" w:eastAsia="Times New Roman" w:hAnsi="Courier New" w:cs="STIX MathJax Main"/>
                <w:sz w:val="18"/>
                <w:szCs w:val="18"/>
              </w:rPr>
              <w:t>%</w:t>
            </w:r>
          </w:p>
        </w:tc>
      </w:tr>
      <w:tr w:rsidR="000B1160" w:rsidRPr="000B1160" w:rsidTr="00FF7247">
        <w:trPr>
          <w:trHeight w:val="144"/>
        </w:trPr>
        <w:tc>
          <w:tcPr>
            <w:tcW w:w="990" w:type="dxa"/>
            <w:tcBorders>
              <w:bottom w:val="single" w:sz="12" w:space="0" w:color="auto"/>
            </w:tcBorders>
            <w:noWrap/>
            <w:vAlign w:val="center"/>
          </w:tcPr>
          <w:p w:rsidR="000B1160" w:rsidRPr="000B1160" w:rsidRDefault="000B1160" w:rsidP="000B1160">
            <w:pPr>
              <w:spacing w:after="0" w:line="240" w:lineRule="auto"/>
              <w:jc w:val="center"/>
              <w:rPr>
                <w:rFonts w:ascii="STIX MathJax Main" w:eastAsia="Times New Roman" w:hAnsi="STIX MathJax Main" w:cs="STIX MathJax Main"/>
                <w:sz w:val="18"/>
                <w:szCs w:val="18"/>
              </w:rPr>
            </w:pPr>
            <w:r w:rsidRPr="000B1160">
              <w:rPr>
                <w:rFonts w:ascii="STIX" w:eastAsia="Times New Roman" w:hAnsi="STIX" w:cs="STIX MathJax Main"/>
                <w:sz w:val="18"/>
                <w:szCs w:val="18"/>
              </w:rPr>
              <w:t>25</w:t>
            </w:r>
          </w:p>
        </w:tc>
        <w:tc>
          <w:tcPr>
            <w:tcW w:w="1170" w:type="dxa"/>
            <w:tcBorders>
              <w:bottom w:val="single" w:sz="12" w:space="0" w:color="auto"/>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0.474572</w:t>
            </w:r>
          </w:p>
        </w:tc>
        <w:tc>
          <w:tcPr>
            <w:tcW w:w="1170" w:type="dxa"/>
            <w:tcBorders>
              <w:bottom w:val="single" w:sz="12" w:space="0" w:color="auto"/>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5.9E</w:t>
            </w:r>
            <w:r w:rsidRPr="000B1160">
              <w:rPr>
                <w:rFonts w:ascii="Courier New" w:eastAsia="Times New Roman" w:hAnsi="Courier New" w:cs="STIX MathJax Main"/>
                <w:sz w:val="18"/>
                <w:szCs w:val="18"/>
              </w:rPr>
              <w:t>-</w:t>
            </w:r>
            <w:r w:rsidRPr="000B1160">
              <w:rPr>
                <w:rFonts w:ascii="STIX" w:eastAsia="Times New Roman" w:hAnsi="STIX" w:cs="STIX MathJax Main"/>
                <w:sz w:val="18"/>
                <w:szCs w:val="18"/>
              </w:rPr>
              <w:t>13</w:t>
            </w:r>
          </w:p>
        </w:tc>
        <w:tc>
          <w:tcPr>
            <w:tcW w:w="1106" w:type="dxa"/>
            <w:tcBorders>
              <w:bottom w:val="single" w:sz="12" w:space="0" w:color="auto"/>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2.541249</w:t>
            </w:r>
          </w:p>
        </w:tc>
        <w:tc>
          <w:tcPr>
            <w:tcW w:w="1229" w:type="dxa"/>
            <w:tcBorders>
              <w:bottom w:val="single" w:sz="12" w:space="0" w:color="auto"/>
            </w:tcBorders>
            <w:noWrap/>
            <w:vAlign w:val="center"/>
          </w:tcPr>
          <w:p w:rsidR="000B1160" w:rsidRPr="000B1160" w:rsidRDefault="000B1160" w:rsidP="000B1160">
            <w:pPr>
              <w:spacing w:after="0" w:line="240" w:lineRule="auto"/>
              <w:jc w:val="right"/>
              <w:rPr>
                <w:rFonts w:ascii="STIX MathJax Main" w:eastAsia="Times New Roman" w:hAnsi="STIX MathJax Main" w:cs="STIX MathJax Main"/>
                <w:sz w:val="18"/>
                <w:szCs w:val="18"/>
              </w:rPr>
            </w:pPr>
            <w:r w:rsidRPr="000B1160">
              <w:rPr>
                <w:rFonts w:ascii="STIX" w:eastAsia="Times New Roman" w:hAnsi="STIX" w:cs="STIX MathJax Main"/>
                <w:sz w:val="18"/>
                <w:szCs w:val="18"/>
              </w:rPr>
              <w:t>0.000</w:t>
            </w:r>
            <w:r w:rsidRPr="000B1160">
              <w:rPr>
                <w:rFonts w:ascii="Courier New" w:eastAsia="Times New Roman" w:hAnsi="Courier New" w:cs="STIX MathJax Main"/>
                <w:sz w:val="18"/>
                <w:szCs w:val="18"/>
              </w:rPr>
              <w:t>%</w:t>
            </w:r>
          </w:p>
        </w:tc>
      </w:tr>
    </w:tbl>
    <w:p w:rsidR="000B1160" w:rsidRDefault="000B1160" w:rsidP="000B1160">
      <w:pPr>
        <w:spacing w:after="0" w:line="240" w:lineRule="auto"/>
        <w:rPr>
          <w:rFonts w:ascii="STIX" w:hAnsi="STIX" w:cs="STIX"/>
          <w:i/>
          <w:sz w:val="20"/>
          <w:szCs w:val="20"/>
        </w:rPr>
        <w:sectPr w:rsidR="000B1160" w:rsidSect="002C1C68">
          <w:footerReference w:type="default" r:id="rId10"/>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rPr>
          <w:rFonts w:ascii="STIX" w:eastAsia="Times New Roman" w:hAnsi="STIX"/>
          <w:sz w:val="20"/>
          <w:szCs w:val="24"/>
        </w:rPr>
      </w:pPr>
      <w:r w:rsidRPr="000B1160">
        <w:rPr>
          <w:rFonts w:ascii="STIX" w:eastAsia="Times New Roman" w:hAnsi="STIX"/>
          <w:sz w:val="20"/>
          <w:szCs w:val="24"/>
        </w:rPr>
        <w:t xml:space="preserve">This time the solution jumps to an extremely large negative value The computation eventually converges at a very slow rate on a root at </w:t>
      </w:r>
      <w:r w:rsidRPr="000B1160">
        <w:rPr>
          <w:rFonts w:ascii="STIX" w:eastAsia="Times New Roman" w:hAnsi="STIX"/>
          <w:i/>
          <w:sz w:val="20"/>
          <w:szCs w:val="24"/>
        </w:rPr>
        <w:t>x</w:t>
      </w:r>
      <w:r w:rsidRPr="000B1160">
        <w:rPr>
          <w:rFonts w:ascii="STIX" w:eastAsia="Times New Roman" w:hAnsi="STIX"/>
          <w:sz w:val="20"/>
          <w:szCs w:val="24"/>
        </w:rPr>
        <w:t xml:space="preserve"> </w:t>
      </w:r>
      <w:r w:rsidRPr="000B1160">
        <w:rPr>
          <w:rFonts w:ascii="Courier New" w:eastAsia="Times New Roman" w:hAnsi="Courier New"/>
          <w:sz w:val="20"/>
          <w:szCs w:val="24"/>
        </w:rPr>
        <w:t>=</w:t>
      </w:r>
      <w:r w:rsidRPr="000B1160">
        <w:rPr>
          <w:rFonts w:ascii="STIX" w:eastAsia="Times New Roman" w:hAnsi="STIX"/>
          <w:sz w:val="20"/>
          <w:szCs w:val="24"/>
        </w:rPr>
        <w:t xml:space="preserve"> 0.474572.</w:t>
      </w:r>
    </w:p>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rPr>
          <w:rFonts w:ascii="STIX" w:eastAsia="Times New Roman" w:hAnsi="STIX"/>
          <w:sz w:val="20"/>
          <w:szCs w:val="24"/>
        </w:rPr>
      </w:pPr>
      <w:r w:rsidRPr="000B1160">
        <w:rPr>
          <w:rFonts w:ascii="STIX" w:eastAsia="Times New Roman" w:hAnsi="STIX"/>
          <w:sz w:val="20"/>
          <w:szCs w:val="24"/>
        </w:rPr>
        <w:t>Explanation of results: The results are explained by looking at a plot of the function. Both guesses are in a region where the function is relatively flat. Because the two guesses are on opposite sides of a minimum, both are sent to different regions that are far from the initial guesses. Thereafter, the methods slowly converge on the nearest roots.</w:t>
      </w:r>
    </w:p>
    <w:p w:rsidR="000B1160" w:rsidRPr="000B1160" w:rsidRDefault="000B1160" w:rsidP="000B1160">
      <w:pPr>
        <w:spacing w:after="0" w:line="240" w:lineRule="auto"/>
        <w:rPr>
          <w:rFonts w:ascii="STIX" w:eastAsia="Times New Roman" w:hAnsi="STIX"/>
          <w:sz w:val="20"/>
          <w:szCs w:val="24"/>
        </w:rPr>
      </w:pPr>
    </w:p>
    <w:p w:rsidR="000B1160" w:rsidRPr="000B1160" w:rsidRDefault="000B1160" w:rsidP="000B1160">
      <w:pPr>
        <w:spacing w:after="0" w:line="240" w:lineRule="auto"/>
        <w:ind w:left="540"/>
        <w:rPr>
          <w:rFonts w:ascii="STIX" w:eastAsia="Times New Roman" w:hAnsi="STIX"/>
          <w:sz w:val="20"/>
          <w:szCs w:val="24"/>
        </w:rPr>
      </w:pPr>
      <w:r w:rsidRPr="000B1160">
        <w:rPr>
          <w:rFonts w:ascii="STIX" w:eastAsia="Times New Roman" w:hAnsi="STIX"/>
          <w:sz w:val="20"/>
          <w:szCs w:val="24"/>
        </w:rPr>
        <w:drawing>
          <wp:inline distT="0" distB="0" distL="0" distR="0">
            <wp:extent cx="2847975" cy="1285875"/>
            <wp:effectExtent l="0" t="0" r="9525" b="0"/>
            <wp:docPr id="96"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1" cstate="print"/>
                    <a:srcRect/>
                    <a:stretch>
                      <a:fillRect/>
                    </a:stretch>
                  </pic:blipFill>
                  <pic:spPr bwMode="auto">
                    <a:xfrm>
                      <a:off x="0" y="0"/>
                      <a:ext cx="2847975" cy="1285875"/>
                    </a:xfrm>
                    <a:prstGeom prst="rect">
                      <a:avLst/>
                    </a:prstGeom>
                    <a:noFill/>
                    <a:ln w="9525">
                      <a:noFill/>
                      <a:miter lim="800000"/>
                      <a:headEnd/>
                      <a:tailEnd/>
                    </a:ln>
                  </pic:spPr>
                </pic:pic>
              </a:graphicData>
            </a:graphic>
          </wp:inline>
        </w:drawing>
      </w:r>
      <w:r w:rsidRPr="000B1160">
        <w:rPr>
          <w:rFonts w:ascii="STIX" w:eastAsia="Times New Roman" w:hAnsi="STIX"/>
          <w:sz w:val="20"/>
          <w:szCs w:val="24"/>
        </w:rPr>
        <w:t xml:space="preserve"> </w:t>
      </w:r>
    </w:p>
    <w:p w:rsidR="00151105" w:rsidRPr="00151105" w:rsidRDefault="00151105" w:rsidP="000B1160">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158"/>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5E1D"/>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53CA"/>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0E57"/>
    <w:rsid w:val="00FA138B"/>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F4"/>
    <w:rsid w:val="00FC3398"/>
    <w:rsid w:val="00FC3B52"/>
    <w:rsid w:val="00FC590C"/>
    <w:rsid w:val="00FD127A"/>
    <w:rsid w:val="00FD1E46"/>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96991B-1710-4D78-AD8A-C16A853E2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259</Words>
  <Characters>1479</Characters>
  <Application>Microsoft Office Word</Application>
  <DocSecurity>0</DocSecurity>
  <Lines>12</Lines>
  <Paragraphs>3</Paragraphs>
  <ScaleCrop>false</ScaleCrop>
  <Company/>
  <LinksUpToDate>false</LinksUpToDate>
  <CharactersWithSpaces>1735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2017-03-30T14:46:00Z</dcterms:created>
  <dcterms:modified xsi:type="dcterms:W3CDTF">2017-03-30T14:46:00Z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