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FD2ED4">
        <w:rPr>
          <w:b/>
          <w:noProof/>
          <w:sz w:val="20"/>
          <w:szCs w:val="20"/>
        </w:rPr>
        <w:t>7.24</w:t>
      </w:r>
    </w:p>
    <w:p w:rsidR="00151105" w:rsidRDefault="00151105" w:rsidP="00BC029E">
      <w:pPr>
        <w:autoSpaceDE w:val="0"/>
        <w:autoSpaceDN w:val="0"/>
        <w:adjustRightInd w:val="0"/>
        <w:spacing w:after="0" w:line="240" w:lineRule="auto"/>
        <w:rPr>
          <w:rFonts w:ascii="STIX" w:eastAsia="Times New Roman" w:hAnsi="STIX"/>
          <w:sz w:val="20"/>
          <w:szCs w:val="24"/>
        </w:rPr>
      </w:pPr>
    </w:p>
    <w:p w:rsidR="00FD2ED4" w:rsidRPr="00FD2ED4" w:rsidRDefault="00FD2ED4" w:rsidP="00FD2ED4">
      <w:pPr>
        <w:spacing w:after="0" w:line="240" w:lineRule="auto"/>
        <w:rPr>
          <w:rFonts w:ascii="STIX" w:eastAsia="Times New Roman" w:hAnsi="STIX"/>
          <w:sz w:val="20"/>
          <w:szCs w:val="20"/>
        </w:rPr>
      </w:pPr>
      <w:r w:rsidRPr="00FD2ED4">
        <w:rPr>
          <w:rFonts w:ascii="STIX" w:eastAsia="Times New Roman" w:hAnsi="STIX"/>
          <w:sz w:val="20"/>
          <w:szCs w:val="20"/>
        </w:rPr>
        <w:t>The inflection point corresponds to the point at which the derivative of the normal distribution is a minimum. The derivative can be evaluated as</w:t>
      </w:r>
    </w:p>
    <w:p w:rsidR="00FD2ED4" w:rsidRPr="00FD2ED4" w:rsidRDefault="00FD2ED4" w:rsidP="00FD2ED4">
      <w:pPr>
        <w:spacing w:after="0" w:line="240" w:lineRule="auto"/>
        <w:rPr>
          <w:rFonts w:ascii="STIX" w:eastAsia="Times New Roman" w:hAnsi="STIX"/>
          <w:sz w:val="20"/>
          <w:szCs w:val="24"/>
        </w:rPr>
      </w:pPr>
      <w:r w:rsidRPr="00FD2ED4">
        <w:rPr>
          <w:rFonts w:ascii="STIX" w:eastAsia="Times New Roman" w:hAnsi="STIX"/>
          <w:sz w:val="20"/>
          <w:szCs w:val="24"/>
        </w:rPr>
        <w:t xml:space="preserve"> </w:t>
      </w:r>
    </w:p>
    <w:p w:rsidR="00FD2ED4" w:rsidRPr="00FD2ED4" w:rsidRDefault="00FD2ED4" w:rsidP="00FD2ED4">
      <w:pPr>
        <w:spacing w:after="0" w:line="240" w:lineRule="auto"/>
        <w:rPr>
          <w:rFonts w:ascii="STIX" w:eastAsia="Times New Roman" w:hAnsi="STIX"/>
          <w:sz w:val="20"/>
          <w:szCs w:val="24"/>
        </w:rPr>
      </w:pPr>
      <w:r w:rsidRPr="00FD2ED4">
        <w:rPr>
          <w:rFonts w:ascii="Times New Roman" w:eastAsia="Times New Roman" w:hAnsi="Times New Roman"/>
          <w:position w:val="-24"/>
          <w:sz w:val="20"/>
          <w:szCs w:val="24"/>
        </w:rPr>
        <w:object w:dxaOrig="13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2.25pt" o:ole="">
            <v:imagedata r:id="rId8" o:title=""/>
          </v:shape>
          <o:OLEObject Type="Embed" ProgID="Equation.DSMT4" ShapeID="_x0000_i1025" DrawAspect="Content" ObjectID="_1552639422" r:id="rId9"/>
        </w:object>
      </w:r>
    </w:p>
    <w:p w:rsidR="00FD2ED4" w:rsidRPr="00FD2ED4" w:rsidRDefault="00FD2ED4" w:rsidP="00FD2ED4">
      <w:pPr>
        <w:spacing w:after="0" w:line="240" w:lineRule="auto"/>
        <w:rPr>
          <w:rFonts w:ascii="STIX" w:eastAsia="Times New Roman" w:hAnsi="STIX"/>
          <w:sz w:val="20"/>
          <w:szCs w:val="24"/>
        </w:rPr>
      </w:pPr>
    </w:p>
    <w:p w:rsidR="00FD2ED4" w:rsidRPr="00FD2ED4" w:rsidRDefault="00FD2ED4" w:rsidP="00FD2ED4">
      <w:pPr>
        <w:spacing w:after="0" w:line="240" w:lineRule="auto"/>
        <w:rPr>
          <w:rFonts w:ascii="STIX" w:eastAsia="Times New Roman" w:hAnsi="STIX"/>
          <w:sz w:val="20"/>
          <w:szCs w:val="24"/>
        </w:rPr>
      </w:pPr>
      <w:r w:rsidRPr="00FD2ED4">
        <w:rPr>
          <w:rFonts w:ascii="STIX" w:eastAsia="Times New Roman" w:hAnsi="STIX"/>
          <w:sz w:val="20"/>
          <w:szCs w:val="24"/>
        </w:rPr>
        <w:t xml:space="preserve">Starting with initial guesses of </w:t>
      </w:r>
      <w:r w:rsidRPr="00FD2ED4">
        <w:rPr>
          <w:rFonts w:ascii="STIX" w:eastAsia="Times New Roman" w:hAnsi="STIX"/>
          <w:i/>
          <w:sz w:val="20"/>
          <w:szCs w:val="24"/>
        </w:rPr>
        <w:t>x</w:t>
      </w:r>
      <w:r w:rsidRPr="00FD2ED4">
        <w:rPr>
          <w:rFonts w:ascii="STIX" w:eastAsia="Times New Roman" w:hAnsi="STIX"/>
          <w:i/>
          <w:sz w:val="20"/>
          <w:szCs w:val="24"/>
          <w:vertAlign w:val="subscript"/>
        </w:rPr>
        <w:t>l</w:t>
      </w:r>
      <w:r w:rsidRPr="00FD2ED4">
        <w:rPr>
          <w:rFonts w:ascii="STIX" w:eastAsia="Times New Roman" w:hAnsi="STIX"/>
          <w:sz w:val="20"/>
          <w:szCs w:val="24"/>
        </w:rPr>
        <w:t xml:space="preserve"> </w:t>
      </w:r>
      <w:r w:rsidRPr="00FD2ED4">
        <w:rPr>
          <w:rFonts w:ascii="Courier New" w:eastAsia="Times New Roman" w:hAnsi="Courier New"/>
          <w:sz w:val="20"/>
          <w:szCs w:val="24"/>
        </w:rPr>
        <w:t>=</w:t>
      </w:r>
      <w:r w:rsidRPr="00FD2ED4">
        <w:rPr>
          <w:rFonts w:ascii="STIX" w:eastAsia="Times New Roman" w:hAnsi="STIX"/>
          <w:sz w:val="20"/>
          <w:szCs w:val="24"/>
        </w:rPr>
        <w:t xml:space="preserve"> 0 and </w:t>
      </w:r>
      <w:r w:rsidRPr="00FD2ED4">
        <w:rPr>
          <w:rFonts w:ascii="STIX" w:eastAsia="Times New Roman" w:hAnsi="STIX"/>
          <w:i/>
          <w:sz w:val="20"/>
          <w:szCs w:val="24"/>
        </w:rPr>
        <w:t>x</w:t>
      </w:r>
      <w:r w:rsidRPr="00FD2ED4">
        <w:rPr>
          <w:rFonts w:ascii="STIX" w:eastAsia="Times New Roman" w:hAnsi="STIX"/>
          <w:i/>
          <w:sz w:val="20"/>
          <w:szCs w:val="24"/>
          <w:vertAlign w:val="subscript"/>
        </w:rPr>
        <w:t>u</w:t>
      </w:r>
      <w:r w:rsidRPr="00FD2ED4">
        <w:rPr>
          <w:rFonts w:ascii="STIX" w:eastAsia="Times New Roman" w:hAnsi="STIX"/>
          <w:sz w:val="20"/>
          <w:szCs w:val="24"/>
        </w:rPr>
        <w:t xml:space="preserve"> </w:t>
      </w:r>
      <w:r w:rsidRPr="00FD2ED4">
        <w:rPr>
          <w:rFonts w:ascii="Courier New" w:eastAsia="Times New Roman" w:hAnsi="Courier New"/>
          <w:sz w:val="20"/>
          <w:szCs w:val="24"/>
        </w:rPr>
        <w:t>=</w:t>
      </w:r>
      <w:r w:rsidRPr="00FD2ED4">
        <w:rPr>
          <w:rFonts w:ascii="STIX" w:eastAsia="Times New Roman" w:hAnsi="STIX"/>
          <w:sz w:val="20"/>
          <w:szCs w:val="24"/>
        </w:rPr>
        <w:t xml:space="preserve"> 2, the golden-section search method can be implemented as</w:t>
      </w:r>
    </w:p>
    <w:p w:rsidR="00FD2ED4" w:rsidRPr="00FD2ED4" w:rsidRDefault="00FD2ED4" w:rsidP="00FD2ED4">
      <w:pPr>
        <w:spacing w:after="0" w:line="240" w:lineRule="auto"/>
        <w:rPr>
          <w:rFonts w:ascii="STIX" w:eastAsia="Times New Roman" w:hAnsi="STIX"/>
          <w:sz w:val="20"/>
          <w:szCs w:val="24"/>
        </w:rPr>
      </w:pPr>
    </w:p>
    <w:p w:rsidR="00FD2ED4" w:rsidRPr="00FD2ED4" w:rsidRDefault="00FD2ED4" w:rsidP="00FD2ED4">
      <w:pPr>
        <w:spacing w:after="0" w:line="240" w:lineRule="auto"/>
        <w:rPr>
          <w:rFonts w:ascii="STIX" w:eastAsia="Times New Roman" w:hAnsi="STIX"/>
          <w:sz w:val="20"/>
          <w:szCs w:val="24"/>
        </w:rPr>
      </w:pPr>
      <w:r w:rsidRPr="00FD2ED4">
        <w:rPr>
          <w:rFonts w:ascii="Times New Roman" w:eastAsia="Times New Roman" w:hAnsi="Times New Roman"/>
          <w:position w:val="-24"/>
          <w:sz w:val="20"/>
          <w:szCs w:val="24"/>
        </w:rPr>
        <w:object w:dxaOrig="2560" w:dyaOrig="700">
          <v:shape id="_x0000_i1026" type="#_x0000_t75" style="width:128.25pt;height:35.25pt" o:ole="">
            <v:imagedata r:id="rId10" o:title=""/>
          </v:shape>
          <o:OLEObject Type="Embed" ProgID="Equation.DSMT4" ShapeID="_x0000_i1026" DrawAspect="Content" ObjectID="_1552639423" r:id="rId11"/>
        </w:object>
      </w:r>
    </w:p>
    <w:p w:rsidR="00FD2ED4" w:rsidRPr="00FD2ED4" w:rsidRDefault="00FD2ED4" w:rsidP="00FD2ED4">
      <w:pPr>
        <w:spacing w:after="0" w:line="240" w:lineRule="auto"/>
        <w:rPr>
          <w:rFonts w:ascii="STIX" w:eastAsia="Times New Roman" w:hAnsi="STIX"/>
          <w:sz w:val="20"/>
          <w:szCs w:val="24"/>
        </w:rPr>
      </w:pPr>
      <w:r w:rsidRPr="00FD2ED4">
        <w:rPr>
          <w:rFonts w:ascii="Times New Roman" w:eastAsia="Times New Roman" w:hAnsi="Times New Roman"/>
          <w:position w:val="-12"/>
          <w:sz w:val="20"/>
          <w:szCs w:val="24"/>
        </w:rPr>
        <w:object w:dxaOrig="2320" w:dyaOrig="360">
          <v:shape id="_x0000_i1027" type="#_x0000_t75" style="width:116.25pt;height:18pt" o:ole="">
            <v:imagedata r:id="rId12" o:title=""/>
          </v:shape>
          <o:OLEObject Type="Embed" ProgID="Equation.DSMT4" ShapeID="_x0000_i1027" DrawAspect="Content" ObjectID="_1552639424" r:id="rId13"/>
        </w:object>
      </w:r>
      <w:r w:rsidRPr="00FD2ED4">
        <w:rPr>
          <w:rFonts w:ascii="STIX" w:eastAsia="Times New Roman" w:hAnsi="STIX"/>
          <w:sz w:val="20"/>
          <w:szCs w:val="24"/>
        </w:rPr>
        <w:tab/>
      </w:r>
      <w:r w:rsidRPr="00FD2ED4">
        <w:rPr>
          <w:rFonts w:ascii="STIX" w:eastAsia="Times New Roman" w:hAnsi="STIX"/>
          <w:sz w:val="20"/>
          <w:szCs w:val="24"/>
        </w:rPr>
        <w:tab/>
      </w:r>
      <w:r w:rsidRPr="00FD2ED4">
        <w:rPr>
          <w:rFonts w:ascii="STIX" w:eastAsia="Times New Roman" w:hAnsi="STIX"/>
          <w:position w:val="-12"/>
          <w:sz w:val="20"/>
          <w:szCs w:val="24"/>
        </w:rPr>
        <w:object w:dxaOrig="2380" w:dyaOrig="360">
          <v:shape id="_x0000_i1028" type="#_x0000_t75" style="width:119.25pt;height:18pt" o:ole="">
            <v:imagedata r:id="rId14" o:title=""/>
          </v:shape>
          <o:OLEObject Type="Embed" ProgID="Equation.DSMT4" ShapeID="_x0000_i1028" DrawAspect="Content" ObjectID="_1552639425" r:id="rId15"/>
        </w:object>
      </w:r>
    </w:p>
    <w:p w:rsidR="00FD2ED4" w:rsidRPr="00FD2ED4" w:rsidRDefault="00FD2ED4" w:rsidP="00FD2ED4">
      <w:pPr>
        <w:spacing w:after="0" w:line="240" w:lineRule="auto"/>
        <w:rPr>
          <w:rFonts w:ascii="STIX" w:eastAsia="Times New Roman" w:hAnsi="STIX"/>
          <w:sz w:val="20"/>
          <w:szCs w:val="24"/>
        </w:rPr>
      </w:pPr>
      <w:r w:rsidRPr="00FD2ED4">
        <w:rPr>
          <w:rFonts w:ascii="Times New Roman" w:eastAsia="Times New Roman" w:hAnsi="Times New Roman"/>
          <w:position w:val="-12"/>
          <w:sz w:val="20"/>
          <w:szCs w:val="24"/>
        </w:rPr>
        <w:object w:dxaOrig="4959" w:dyaOrig="420">
          <v:shape id="_x0000_i1029" type="#_x0000_t75" style="width:248.25pt;height:21pt" o:ole="">
            <v:imagedata r:id="rId16" o:title=""/>
          </v:shape>
          <o:OLEObject Type="Embed" ProgID="Equation.DSMT4" ShapeID="_x0000_i1029" DrawAspect="Content" ObjectID="_1552639426" r:id="rId17"/>
        </w:object>
      </w:r>
    </w:p>
    <w:p w:rsidR="00FD2ED4" w:rsidRPr="00FD2ED4" w:rsidRDefault="00FD2ED4" w:rsidP="00FD2ED4">
      <w:pPr>
        <w:spacing w:after="0" w:line="240" w:lineRule="auto"/>
        <w:rPr>
          <w:rFonts w:ascii="STIX" w:eastAsia="Times New Roman" w:hAnsi="STIX"/>
          <w:sz w:val="20"/>
          <w:szCs w:val="24"/>
        </w:rPr>
      </w:pPr>
      <w:r w:rsidRPr="00FD2ED4">
        <w:rPr>
          <w:rFonts w:ascii="Times New Roman" w:eastAsia="Times New Roman" w:hAnsi="Times New Roman"/>
          <w:position w:val="-12"/>
          <w:sz w:val="20"/>
          <w:szCs w:val="24"/>
        </w:rPr>
        <w:object w:dxaOrig="4819" w:dyaOrig="420">
          <v:shape id="_x0000_i1030" type="#_x0000_t75" style="width:240.75pt;height:21pt" o:ole="">
            <v:imagedata r:id="rId18" o:title=""/>
          </v:shape>
          <o:OLEObject Type="Embed" ProgID="Equation.DSMT4" ShapeID="_x0000_i1030" DrawAspect="Content" ObjectID="_1552639427" r:id="rId19"/>
        </w:object>
      </w:r>
    </w:p>
    <w:p w:rsidR="00FD2ED4" w:rsidRPr="00FD2ED4" w:rsidRDefault="00FD2ED4" w:rsidP="00FD2ED4">
      <w:pPr>
        <w:spacing w:after="0" w:line="240" w:lineRule="auto"/>
        <w:rPr>
          <w:rFonts w:ascii="STIX" w:eastAsia="Times New Roman" w:hAnsi="STIX"/>
          <w:sz w:val="20"/>
          <w:szCs w:val="24"/>
        </w:rPr>
      </w:pPr>
    </w:p>
    <w:p w:rsidR="00FD2ED4" w:rsidRPr="00FD2ED4" w:rsidRDefault="00FD2ED4" w:rsidP="00FD2ED4">
      <w:pPr>
        <w:spacing w:after="0" w:line="240" w:lineRule="auto"/>
        <w:rPr>
          <w:rFonts w:ascii="STIX" w:eastAsia="Times New Roman" w:hAnsi="STIX"/>
          <w:sz w:val="20"/>
          <w:szCs w:val="24"/>
        </w:rPr>
      </w:pPr>
      <w:r w:rsidRPr="00FD2ED4">
        <w:rPr>
          <w:rFonts w:ascii="STIX" w:eastAsia="Times New Roman" w:hAnsi="STIX"/>
          <w:sz w:val="20"/>
          <w:szCs w:val="24"/>
        </w:rPr>
        <w:t xml:space="preserve">Because </w:t>
      </w:r>
      <w:r w:rsidRPr="00FD2ED4">
        <w:rPr>
          <w:rFonts w:ascii="STIX" w:eastAsia="Times New Roman" w:hAnsi="STIX"/>
          <w:i/>
          <w:sz w:val="20"/>
          <w:szCs w:val="24"/>
        </w:rPr>
        <w:t>f</w:t>
      </w:r>
      <w:r w:rsidRPr="00FD2ED4">
        <w:rPr>
          <w:rFonts w:ascii="Courier New" w:eastAsia="Times New Roman" w:hAnsi="Courier New"/>
          <w:sz w:val="20"/>
          <w:szCs w:val="24"/>
        </w:rPr>
        <w:t>(</w:t>
      </w:r>
      <w:r w:rsidRPr="00FD2ED4">
        <w:rPr>
          <w:rFonts w:ascii="STIX" w:eastAsia="Times New Roman" w:hAnsi="STIX"/>
          <w:i/>
          <w:sz w:val="20"/>
          <w:szCs w:val="24"/>
        </w:rPr>
        <w:t>x</w:t>
      </w:r>
      <w:r w:rsidRPr="00FD2ED4">
        <w:rPr>
          <w:rFonts w:ascii="STIX" w:eastAsia="Times New Roman" w:hAnsi="STIX"/>
          <w:sz w:val="20"/>
          <w:szCs w:val="24"/>
          <w:vertAlign w:val="subscript"/>
        </w:rPr>
        <w:t>2</w:t>
      </w:r>
      <w:r w:rsidRPr="00FD2ED4">
        <w:rPr>
          <w:rFonts w:ascii="Courier New" w:eastAsia="Times New Roman" w:hAnsi="Courier New"/>
          <w:sz w:val="20"/>
          <w:szCs w:val="24"/>
        </w:rPr>
        <w:t>)</w:t>
      </w:r>
      <w:r w:rsidRPr="00FD2ED4">
        <w:rPr>
          <w:rFonts w:ascii="STIX" w:eastAsia="Times New Roman" w:hAnsi="STIX"/>
          <w:sz w:val="20"/>
          <w:szCs w:val="24"/>
        </w:rPr>
        <w:t xml:space="preserve"> </w:t>
      </w:r>
      <w:r w:rsidRPr="00FD2ED4">
        <w:rPr>
          <w:rFonts w:ascii="Courier New" w:eastAsia="Times New Roman" w:hAnsi="Courier New"/>
          <w:sz w:val="20"/>
          <w:szCs w:val="24"/>
        </w:rPr>
        <w:t xml:space="preserve">&lt; </w:t>
      </w:r>
      <w:r w:rsidRPr="00FD2ED4">
        <w:rPr>
          <w:rFonts w:ascii="STIX" w:eastAsia="Times New Roman" w:hAnsi="STIX"/>
          <w:i/>
          <w:sz w:val="20"/>
          <w:szCs w:val="24"/>
        </w:rPr>
        <w:t>f</w:t>
      </w:r>
      <w:r w:rsidRPr="00FD2ED4">
        <w:rPr>
          <w:rFonts w:ascii="Courier New" w:eastAsia="Times New Roman" w:hAnsi="Courier New"/>
          <w:sz w:val="20"/>
          <w:szCs w:val="24"/>
        </w:rPr>
        <w:t>(</w:t>
      </w:r>
      <w:r w:rsidRPr="00FD2ED4">
        <w:rPr>
          <w:rFonts w:ascii="STIX" w:eastAsia="Times New Roman" w:hAnsi="STIX"/>
          <w:i/>
          <w:sz w:val="20"/>
          <w:szCs w:val="24"/>
        </w:rPr>
        <w:t>x</w:t>
      </w:r>
      <w:r w:rsidRPr="00FD2ED4">
        <w:rPr>
          <w:rFonts w:ascii="STIX" w:eastAsia="Times New Roman" w:hAnsi="STIX"/>
          <w:sz w:val="20"/>
          <w:szCs w:val="24"/>
          <w:vertAlign w:val="subscript"/>
        </w:rPr>
        <w:t>1</w:t>
      </w:r>
      <w:r w:rsidRPr="00FD2ED4">
        <w:rPr>
          <w:rFonts w:ascii="STIX" w:eastAsia="Times New Roman" w:hAnsi="STIX"/>
          <w:sz w:val="20"/>
          <w:szCs w:val="24"/>
        </w:rPr>
        <w:t xml:space="preserve">), the minimum is in the interval defined by </w:t>
      </w:r>
      <w:r w:rsidRPr="00FD2ED4">
        <w:rPr>
          <w:rFonts w:ascii="STIX" w:eastAsia="Times New Roman" w:hAnsi="STIX"/>
          <w:i/>
          <w:sz w:val="20"/>
          <w:szCs w:val="24"/>
        </w:rPr>
        <w:t>x</w:t>
      </w:r>
      <w:r w:rsidRPr="00FD2ED4">
        <w:rPr>
          <w:rFonts w:ascii="STIX" w:eastAsia="Times New Roman" w:hAnsi="STIX"/>
          <w:i/>
          <w:sz w:val="20"/>
          <w:szCs w:val="24"/>
          <w:vertAlign w:val="subscript"/>
        </w:rPr>
        <w:t>l</w:t>
      </w:r>
      <w:r w:rsidRPr="00FD2ED4">
        <w:rPr>
          <w:rFonts w:ascii="STIX" w:eastAsia="Times New Roman" w:hAnsi="STIX"/>
          <w:sz w:val="20"/>
          <w:szCs w:val="24"/>
        </w:rPr>
        <w:t xml:space="preserve">, </w:t>
      </w:r>
      <w:r w:rsidRPr="00FD2ED4">
        <w:rPr>
          <w:rFonts w:ascii="STIX" w:eastAsia="Times New Roman" w:hAnsi="STIX"/>
          <w:i/>
          <w:sz w:val="20"/>
          <w:szCs w:val="24"/>
        </w:rPr>
        <w:t>x</w:t>
      </w:r>
      <w:r w:rsidRPr="00FD2ED4">
        <w:rPr>
          <w:rFonts w:ascii="STIX" w:eastAsia="Times New Roman" w:hAnsi="STIX"/>
          <w:sz w:val="20"/>
          <w:szCs w:val="24"/>
          <w:vertAlign w:val="subscript"/>
        </w:rPr>
        <w:t>2</w:t>
      </w:r>
      <w:r w:rsidRPr="00FD2ED4">
        <w:rPr>
          <w:rFonts w:ascii="STIX" w:eastAsia="Times New Roman" w:hAnsi="STIX"/>
          <w:sz w:val="20"/>
          <w:szCs w:val="24"/>
        </w:rPr>
        <w:t xml:space="preserve">, and </w:t>
      </w:r>
      <w:r w:rsidRPr="00FD2ED4">
        <w:rPr>
          <w:rFonts w:ascii="STIX" w:eastAsia="Times New Roman" w:hAnsi="STIX"/>
          <w:i/>
          <w:sz w:val="20"/>
          <w:szCs w:val="24"/>
        </w:rPr>
        <w:t>x</w:t>
      </w:r>
      <w:r w:rsidRPr="00FD2ED4">
        <w:rPr>
          <w:rFonts w:ascii="STIX" w:eastAsia="Times New Roman" w:hAnsi="STIX"/>
          <w:sz w:val="20"/>
          <w:szCs w:val="24"/>
          <w:vertAlign w:val="subscript"/>
        </w:rPr>
        <w:t>1</w:t>
      </w:r>
      <w:r w:rsidRPr="00FD2ED4">
        <w:rPr>
          <w:rFonts w:ascii="STIX" w:eastAsia="Times New Roman" w:hAnsi="STIX"/>
          <w:sz w:val="20"/>
          <w:szCs w:val="24"/>
        </w:rPr>
        <w:t xml:space="preserve"> where </w:t>
      </w:r>
      <w:r w:rsidRPr="00FD2ED4">
        <w:rPr>
          <w:rFonts w:ascii="STIX" w:eastAsia="Times New Roman" w:hAnsi="STIX"/>
          <w:i/>
          <w:sz w:val="20"/>
          <w:szCs w:val="24"/>
        </w:rPr>
        <w:t>x</w:t>
      </w:r>
      <w:r w:rsidRPr="00FD2ED4">
        <w:rPr>
          <w:rFonts w:ascii="STIX" w:eastAsia="Times New Roman" w:hAnsi="STIX"/>
          <w:sz w:val="20"/>
          <w:szCs w:val="24"/>
          <w:vertAlign w:val="subscript"/>
        </w:rPr>
        <w:t>2</w:t>
      </w:r>
      <w:r w:rsidRPr="00FD2ED4">
        <w:rPr>
          <w:rFonts w:ascii="STIX" w:eastAsia="Times New Roman" w:hAnsi="STIX"/>
          <w:sz w:val="20"/>
          <w:szCs w:val="24"/>
        </w:rPr>
        <w:t xml:space="preserve"> is the optimum. The error at this point can be computed as</w:t>
      </w:r>
    </w:p>
    <w:p w:rsidR="00FD2ED4" w:rsidRPr="00FD2ED4" w:rsidRDefault="00FD2ED4" w:rsidP="00FD2ED4">
      <w:pPr>
        <w:spacing w:after="0" w:line="240" w:lineRule="auto"/>
        <w:rPr>
          <w:rFonts w:ascii="STIX" w:eastAsia="Times New Roman" w:hAnsi="STIX"/>
          <w:sz w:val="20"/>
          <w:szCs w:val="24"/>
        </w:rPr>
      </w:pPr>
    </w:p>
    <w:p w:rsidR="00FD2ED4" w:rsidRPr="00FD2ED4" w:rsidRDefault="00FD2ED4" w:rsidP="00FD2ED4">
      <w:pPr>
        <w:spacing w:after="0" w:line="240" w:lineRule="auto"/>
        <w:rPr>
          <w:rFonts w:ascii="STIX" w:eastAsia="Times New Roman" w:hAnsi="STIX"/>
          <w:sz w:val="20"/>
          <w:szCs w:val="24"/>
        </w:rPr>
      </w:pPr>
      <w:r w:rsidRPr="00FD2ED4">
        <w:rPr>
          <w:rFonts w:ascii="Times New Roman" w:eastAsia="Times New Roman" w:hAnsi="Times New Roman"/>
          <w:position w:val="-30"/>
          <w:sz w:val="20"/>
          <w:szCs w:val="24"/>
        </w:rPr>
        <w:object w:dxaOrig="3980" w:dyaOrig="720">
          <v:shape id="_x0000_i1031" type="#_x0000_t75" style="width:198.75pt;height:36pt" o:ole="">
            <v:imagedata r:id="rId20" o:title=""/>
          </v:shape>
          <o:OLEObject Type="Embed" ProgID="Equation.DSMT4" ShapeID="_x0000_i1031" DrawAspect="Content" ObjectID="_1552639428" r:id="rId21"/>
        </w:object>
      </w:r>
    </w:p>
    <w:p w:rsidR="00FD2ED4" w:rsidRPr="00FD2ED4" w:rsidRDefault="00FD2ED4" w:rsidP="00FD2ED4">
      <w:pPr>
        <w:spacing w:after="0" w:line="240" w:lineRule="auto"/>
        <w:rPr>
          <w:rFonts w:ascii="STIX" w:eastAsia="Times New Roman" w:hAnsi="STIX"/>
          <w:sz w:val="20"/>
          <w:szCs w:val="24"/>
        </w:rPr>
      </w:pPr>
      <w:r w:rsidRPr="00FD2ED4">
        <w:rPr>
          <w:rFonts w:ascii="STIX" w:eastAsia="Times New Roman" w:hAnsi="STIX"/>
          <w:sz w:val="20"/>
          <w:szCs w:val="24"/>
        </w:rPr>
        <w:t>The process can be repeated and all the iterations summarized as</w:t>
      </w:r>
    </w:p>
    <w:p w:rsidR="00FD2ED4" w:rsidRPr="00FD2ED4" w:rsidRDefault="00FD2ED4" w:rsidP="00FD2ED4">
      <w:pPr>
        <w:spacing w:after="0" w:line="240" w:lineRule="auto"/>
        <w:rPr>
          <w:rFonts w:ascii="STIX" w:eastAsia="Times New Roman" w:hAnsi="STIX"/>
          <w:sz w:val="20"/>
          <w:szCs w:val="24"/>
        </w:rPr>
      </w:pPr>
    </w:p>
    <w:tbl>
      <w:tblPr>
        <w:tblW w:w="9383" w:type="dxa"/>
        <w:tblInd w:w="108" w:type="dxa"/>
        <w:tblLook w:val="0000"/>
      </w:tblPr>
      <w:tblGrid>
        <w:gridCol w:w="430"/>
        <w:gridCol w:w="752"/>
        <w:gridCol w:w="936"/>
        <w:gridCol w:w="752"/>
        <w:gridCol w:w="837"/>
        <w:gridCol w:w="752"/>
        <w:gridCol w:w="837"/>
        <w:gridCol w:w="752"/>
        <w:gridCol w:w="837"/>
        <w:gridCol w:w="752"/>
        <w:gridCol w:w="837"/>
        <w:gridCol w:w="909"/>
      </w:tblGrid>
      <w:tr w:rsidR="00FD2ED4" w:rsidRPr="00FD2ED4" w:rsidTr="00FD2ED4">
        <w:trPr>
          <w:trHeight w:val="149"/>
        </w:trPr>
        <w:tc>
          <w:tcPr>
            <w:tcW w:w="430" w:type="dxa"/>
            <w:tcBorders>
              <w:top w:val="single" w:sz="12" w:space="0" w:color="auto"/>
              <w:left w:val="nil"/>
              <w:bottom w:val="single" w:sz="4" w:space="0" w:color="auto"/>
              <w:right w:val="nil"/>
            </w:tcBorders>
            <w:noWrap/>
            <w:vAlign w:val="center"/>
          </w:tcPr>
          <w:p w:rsidR="00FD2ED4" w:rsidRPr="00FD2ED4" w:rsidRDefault="00FD2ED4" w:rsidP="00FD2ED4">
            <w:pPr>
              <w:spacing w:after="0" w:line="240" w:lineRule="auto"/>
              <w:jc w:val="center"/>
              <w:rPr>
                <w:rFonts w:ascii="STIX MathJax Main" w:eastAsia="Times New Roman" w:hAnsi="STIX MathJax Main" w:cs="STIX MathJax Main"/>
                <w:b/>
                <w:i/>
                <w:sz w:val="18"/>
                <w:szCs w:val="18"/>
              </w:rPr>
            </w:pPr>
            <w:r w:rsidRPr="00FD2ED4">
              <w:rPr>
                <w:rFonts w:ascii="STIX" w:eastAsia="Times New Roman" w:hAnsi="STIX" w:cs="STIX MathJax Main"/>
                <w:b/>
                <w:i/>
                <w:sz w:val="18"/>
                <w:szCs w:val="18"/>
              </w:rPr>
              <w:t>I</w:t>
            </w:r>
          </w:p>
        </w:tc>
        <w:tc>
          <w:tcPr>
            <w:tcW w:w="752" w:type="dxa"/>
            <w:tcBorders>
              <w:top w:val="single" w:sz="12" w:space="0" w:color="auto"/>
              <w:left w:val="nil"/>
              <w:bottom w:val="single" w:sz="4" w:space="0" w:color="auto"/>
              <w:right w:val="nil"/>
            </w:tcBorders>
            <w:noWrap/>
            <w:vAlign w:val="center"/>
          </w:tcPr>
          <w:p w:rsidR="00FD2ED4" w:rsidRPr="00FD2ED4" w:rsidRDefault="00FD2ED4" w:rsidP="00FD2ED4">
            <w:pPr>
              <w:spacing w:after="0" w:line="240" w:lineRule="auto"/>
              <w:jc w:val="center"/>
              <w:rPr>
                <w:rFonts w:ascii="STIX MathJax Main" w:eastAsia="Times New Roman" w:hAnsi="STIX MathJax Main" w:cs="STIX MathJax Main"/>
                <w:b/>
                <w:i/>
                <w:sz w:val="18"/>
                <w:szCs w:val="18"/>
              </w:rPr>
            </w:pPr>
            <w:r w:rsidRPr="00FD2ED4">
              <w:rPr>
                <w:rFonts w:ascii="STIX" w:eastAsia="Times New Roman" w:hAnsi="STIX" w:cs="STIX MathJax Main"/>
                <w:b/>
                <w:i/>
                <w:sz w:val="18"/>
                <w:szCs w:val="18"/>
              </w:rPr>
              <w:t>x</w:t>
            </w:r>
            <w:r w:rsidRPr="00FD2ED4">
              <w:rPr>
                <w:rFonts w:ascii="STIX" w:eastAsia="Times New Roman" w:hAnsi="STIX" w:cs="STIX MathJax Main"/>
                <w:b/>
                <w:i/>
                <w:sz w:val="18"/>
                <w:szCs w:val="18"/>
                <w:vertAlign w:val="subscript"/>
              </w:rPr>
              <w:t>l</w:t>
            </w:r>
          </w:p>
        </w:tc>
        <w:tc>
          <w:tcPr>
            <w:tcW w:w="936" w:type="dxa"/>
            <w:tcBorders>
              <w:top w:val="single" w:sz="12" w:space="0" w:color="auto"/>
              <w:left w:val="nil"/>
              <w:bottom w:val="single" w:sz="4" w:space="0" w:color="auto"/>
              <w:right w:val="nil"/>
            </w:tcBorders>
            <w:noWrap/>
            <w:vAlign w:val="center"/>
          </w:tcPr>
          <w:p w:rsidR="00FD2ED4" w:rsidRPr="00FD2ED4" w:rsidRDefault="00FD2ED4" w:rsidP="00FD2ED4">
            <w:pPr>
              <w:spacing w:after="0" w:line="240" w:lineRule="auto"/>
              <w:jc w:val="center"/>
              <w:rPr>
                <w:rFonts w:ascii="STIX MathJax Main" w:eastAsia="Times New Roman" w:hAnsi="STIX MathJax Main" w:cs="STIX MathJax Main"/>
                <w:b/>
                <w:sz w:val="18"/>
                <w:szCs w:val="18"/>
              </w:rPr>
            </w:pPr>
            <w:r w:rsidRPr="00FD2ED4">
              <w:rPr>
                <w:rFonts w:ascii="STIX" w:eastAsia="Times New Roman" w:hAnsi="STIX" w:cs="STIX MathJax Main"/>
                <w:b/>
                <w:i/>
                <w:sz w:val="18"/>
                <w:szCs w:val="18"/>
              </w:rPr>
              <w:t>f</w:t>
            </w:r>
            <w:r w:rsidRPr="00FD2ED4">
              <w:rPr>
                <w:rFonts w:ascii="Courier New" w:eastAsia="Times New Roman" w:hAnsi="Courier New" w:cs="STIX MathJax Main"/>
                <w:b/>
                <w:sz w:val="18"/>
                <w:szCs w:val="18"/>
              </w:rPr>
              <w:t>(</w:t>
            </w:r>
            <w:r w:rsidRPr="00FD2ED4">
              <w:rPr>
                <w:rFonts w:ascii="STIX" w:eastAsia="Times New Roman" w:hAnsi="STIX" w:cs="STIX MathJax Main"/>
                <w:b/>
                <w:i/>
                <w:sz w:val="18"/>
                <w:szCs w:val="18"/>
              </w:rPr>
              <w:t>x</w:t>
            </w:r>
            <w:r w:rsidRPr="00FD2ED4">
              <w:rPr>
                <w:rFonts w:ascii="STIX" w:eastAsia="Times New Roman" w:hAnsi="STIX" w:cs="STIX MathJax Main"/>
                <w:b/>
                <w:i/>
                <w:sz w:val="18"/>
                <w:szCs w:val="18"/>
                <w:vertAlign w:val="subscript"/>
              </w:rPr>
              <w:t>l</w:t>
            </w:r>
            <w:r w:rsidRPr="00FD2ED4">
              <w:rPr>
                <w:rFonts w:ascii="Courier New" w:eastAsia="Times New Roman" w:hAnsi="Courier New" w:cs="STIX MathJax Main"/>
                <w:b/>
                <w:sz w:val="18"/>
                <w:szCs w:val="18"/>
              </w:rPr>
              <w:t>)</w:t>
            </w:r>
          </w:p>
        </w:tc>
        <w:tc>
          <w:tcPr>
            <w:tcW w:w="752" w:type="dxa"/>
            <w:tcBorders>
              <w:top w:val="single" w:sz="12" w:space="0" w:color="auto"/>
              <w:left w:val="nil"/>
              <w:bottom w:val="single" w:sz="4" w:space="0" w:color="auto"/>
              <w:right w:val="nil"/>
            </w:tcBorders>
            <w:noWrap/>
            <w:vAlign w:val="center"/>
          </w:tcPr>
          <w:p w:rsidR="00FD2ED4" w:rsidRPr="00FD2ED4" w:rsidRDefault="00FD2ED4" w:rsidP="00FD2ED4">
            <w:pPr>
              <w:spacing w:after="0" w:line="240" w:lineRule="auto"/>
              <w:jc w:val="center"/>
              <w:rPr>
                <w:rFonts w:ascii="STIX MathJax Main" w:eastAsia="Times New Roman" w:hAnsi="STIX MathJax Main" w:cs="STIX MathJax Main"/>
                <w:b/>
                <w:sz w:val="18"/>
                <w:szCs w:val="18"/>
              </w:rPr>
            </w:pPr>
            <w:r w:rsidRPr="00FD2ED4">
              <w:rPr>
                <w:rFonts w:ascii="STIX" w:eastAsia="Times New Roman" w:hAnsi="STIX" w:cs="STIX MathJax Main"/>
                <w:b/>
                <w:i/>
                <w:sz w:val="18"/>
                <w:szCs w:val="18"/>
              </w:rPr>
              <w:t>x</w:t>
            </w:r>
            <w:r w:rsidRPr="00FD2ED4">
              <w:rPr>
                <w:rFonts w:ascii="STIX" w:eastAsia="Times New Roman" w:hAnsi="STIX" w:cs="STIX MathJax Main"/>
                <w:b/>
                <w:sz w:val="18"/>
                <w:szCs w:val="18"/>
                <w:vertAlign w:val="subscript"/>
              </w:rPr>
              <w:t>2</w:t>
            </w:r>
          </w:p>
        </w:tc>
        <w:tc>
          <w:tcPr>
            <w:tcW w:w="837" w:type="dxa"/>
            <w:tcBorders>
              <w:top w:val="single" w:sz="12" w:space="0" w:color="auto"/>
              <w:left w:val="nil"/>
              <w:bottom w:val="single" w:sz="4" w:space="0" w:color="auto"/>
              <w:right w:val="nil"/>
            </w:tcBorders>
            <w:noWrap/>
            <w:vAlign w:val="center"/>
          </w:tcPr>
          <w:p w:rsidR="00FD2ED4" w:rsidRPr="00FD2ED4" w:rsidRDefault="00FD2ED4" w:rsidP="00FD2ED4">
            <w:pPr>
              <w:spacing w:after="0" w:line="240" w:lineRule="auto"/>
              <w:jc w:val="center"/>
              <w:rPr>
                <w:rFonts w:ascii="STIX MathJax Main" w:eastAsia="Times New Roman" w:hAnsi="STIX MathJax Main" w:cs="STIX MathJax Main"/>
                <w:b/>
                <w:sz w:val="18"/>
                <w:szCs w:val="18"/>
              </w:rPr>
            </w:pPr>
            <w:r w:rsidRPr="00FD2ED4">
              <w:rPr>
                <w:rFonts w:ascii="STIX" w:eastAsia="Times New Roman" w:hAnsi="STIX" w:cs="STIX MathJax Main"/>
                <w:b/>
                <w:i/>
                <w:sz w:val="18"/>
                <w:szCs w:val="18"/>
              </w:rPr>
              <w:t>f</w:t>
            </w:r>
            <w:r w:rsidRPr="00FD2ED4">
              <w:rPr>
                <w:rFonts w:ascii="Courier New" w:eastAsia="Times New Roman" w:hAnsi="Courier New" w:cs="STIX MathJax Main"/>
                <w:b/>
                <w:sz w:val="18"/>
                <w:szCs w:val="18"/>
              </w:rPr>
              <w:t>(</w:t>
            </w:r>
            <w:r w:rsidRPr="00FD2ED4">
              <w:rPr>
                <w:rFonts w:ascii="STIX" w:eastAsia="Times New Roman" w:hAnsi="STIX" w:cs="STIX MathJax Main"/>
                <w:b/>
                <w:i/>
                <w:sz w:val="18"/>
                <w:szCs w:val="18"/>
              </w:rPr>
              <w:t>x</w:t>
            </w:r>
            <w:r w:rsidRPr="00FD2ED4">
              <w:rPr>
                <w:rFonts w:ascii="STIX" w:eastAsia="Times New Roman" w:hAnsi="STIX" w:cs="STIX MathJax Main"/>
                <w:b/>
                <w:sz w:val="18"/>
                <w:szCs w:val="18"/>
                <w:vertAlign w:val="subscript"/>
              </w:rPr>
              <w:t>2</w:t>
            </w:r>
            <w:r w:rsidRPr="00FD2ED4">
              <w:rPr>
                <w:rFonts w:ascii="Courier New" w:eastAsia="Times New Roman" w:hAnsi="Courier New" w:cs="STIX MathJax Main"/>
                <w:b/>
                <w:sz w:val="18"/>
                <w:szCs w:val="18"/>
              </w:rPr>
              <w:t>)</w:t>
            </w:r>
          </w:p>
        </w:tc>
        <w:tc>
          <w:tcPr>
            <w:tcW w:w="752" w:type="dxa"/>
            <w:tcBorders>
              <w:top w:val="single" w:sz="12" w:space="0" w:color="auto"/>
              <w:left w:val="nil"/>
              <w:bottom w:val="single" w:sz="4" w:space="0" w:color="auto"/>
              <w:right w:val="nil"/>
            </w:tcBorders>
            <w:noWrap/>
            <w:vAlign w:val="center"/>
          </w:tcPr>
          <w:p w:rsidR="00FD2ED4" w:rsidRPr="00FD2ED4" w:rsidRDefault="00FD2ED4" w:rsidP="00FD2ED4">
            <w:pPr>
              <w:spacing w:after="0" w:line="240" w:lineRule="auto"/>
              <w:jc w:val="center"/>
              <w:rPr>
                <w:rFonts w:ascii="STIX MathJax Main" w:eastAsia="Times New Roman" w:hAnsi="STIX MathJax Main" w:cs="STIX MathJax Main"/>
                <w:b/>
                <w:sz w:val="18"/>
                <w:szCs w:val="18"/>
              </w:rPr>
            </w:pPr>
            <w:r w:rsidRPr="00FD2ED4">
              <w:rPr>
                <w:rFonts w:ascii="STIX" w:eastAsia="Times New Roman" w:hAnsi="STIX" w:cs="STIX MathJax Main"/>
                <w:b/>
                <w:i/>
                <w:sz w:val="18"/>
                <w:szCs w:val="18"/>
              </w:rPr>
              <w:t>x</w:t>
            </w:r>
            <w:r w:rsidRPr="00FD2ED4">
              <w:rPr>
                <w:rFonts w:ascii="STIX" w:eastAsia="Times New Roman" w:hAnsi="STIX" w:cs="STIX MathJax Main"/>
                <w:b/>
                <w:sz w:val="18"/>
                <w:szCs w:val="18"/>
                <w:vertAlign w:val="subscript"/>
              </w:rPr>
              <w:t>1</w:t>
            </w:r>
          </w:p>
        </w:tc>
        <w:tc>
          <w:tcPr>
            <w:tcW w:w="837" w:type="dxa"/>
            <w:tcBorders>
              <w:top w:val="single" w:sz="12" w:space="0" w:color="auto"/>
              <w:left w:val="nil"/>
              <w:bottom w:val="single" w:sz="4" w:space="0" w:color="auto"/>
              <w:right w:val="nil"/>
            </w:tcBorders>
            <w:noWrap/>
            <w:vAlign w:val="center"/>
          </w:tcPr>
          <w:p w:rsidR="00FD2ED4" w:rsidRPr="00FD2ED4" w:rsidRDefault="00FD2ED4" w:rsidP="00FD2ED4">
            <w:pPr>
              <w:spacing w:after="0" w:line="240" w:lineRule="auto"/>
              <w:jc w:val="center"/>
              <w:rPr>
                <w:rFonts w:ascii="STIX MathJax Main" w:eastAsia="Times New Roman" w:hAnsi="STIX MathJax Main" w:cs="STIX MathJax Main"/>
                <w:b/>
                <w:sz w:val="18"/>
                <w:szCs w:val="18"/>
              </w:rPr>
            </w:pPr>
            <w:r w:rsidRPr="00FD2ED4">
              <w:rPr>
                <w:rFonts w:ascii="STIX" w:eastAsia="Times New Roman" w:hAnsi="STIX" w:cs="STIX MathJax Main"/>
                <w:b/>
                <w:i/>
                <w:sz w:val="18"/>
                <w:szCs w:val="18"/>
              </w:rPr>
              <w:t>f</w:t>
            </w:r>
            <w:r w:rsidRPr="00FD2ED4">
              <w:rPr>
                <w:rFonts w:ascii="Courier New" w:eastAsia="Times New Roman" w:hAnsi="Courier New" w:cs="STIX MathJax Main"/>
                <w:b/>
                <w:sz w:val="18"/>
                <w:szCs w:val="18"/>
              </w:rPr>
              <w:t>(</w:t>
            </w:r>
            <w:r w:rsidRPr="00FD2ED4">
              <w:rPr>
                <w:rFonts w:ascii="STIX" w:eastAsia="Times New Roman" w:hAnsi="STIX" w:cs="STIX MathJax Main"/>
                <w:b/>
                <w:i/>
                <w:sz w:val="18"/>
                <w:szCs w:val="18"/>
              </w:rPr>
              <w:t>x</w:t>
            </w:r>
            <w:r w:rsidRPr="00FD2ED4">
              <w:rPr>
                <w:rFonts w:ascii="STIX" w:eastAsia="Times New Roman" w:hAnsi="STIX" w:cs="STIX MathJax Main"/>
                <w:b/>
                <w:sz w:val="18"/>
                <w:szCs w:val="18"/>
                <w:vertAlign w:val="subscript"/>
              </w:rPr>
              <w:t>1</w:t>
            </w:r>
            <w:r w:rsidRPr="00FD2ED4">
              <w:rPr>
                <w:rFonts w:ascii="Courier New" w:eastAsia="Times New Roman" w:hAnsi="Courier New" w:cs="STIX MathJax Main"/>
                <w:b/>
                <w:sz w:val="18"/>
                <w:szCs w:val="18"/>
              </w:rPr>
              <w:t>)</w:t>
            </w:r>
          </w:p>
        </w:tc>
        <w:tc>
          <w:tcPr>
            <w:tcW w:w="752" w:type="dxa"/>
            <w:tcBorders>
              <w:top w:val="single" w:sz="12" w:space="0" w:color="auto"/>
              <w:left w:val="nil"/>
              <w:bottom w:val="single" w:sz="4" w:space="0" w:color="auto"/>
              <w:right w:val="nil"/>
            </w:tcBorders>
            <w:noWrap/>
            <w:vAlign w:val="center"/>
          </w:tcPr>
          <w:p w:rsidR="00FD2ED4" w:rsidRPr="00FD2ED4" w:rsidRDefault="00FD2ED4" w:rsidP="00FD2ED4">
            <w:pPr>
              <w:spacing w:after="0" w:line="240" w:lineRule="auto"/>
              <w:jc w:val="center"/>
              <w:rPr>
                <w:rFonts w:ascii="STIX MathJax Main" w:eastAsia="Times New Roman" w:hAnsi="STIX MathJax Main" w:cs="STIX MathJax Main"/>
                <w:b/>
                <w:i/>
                <w:sz w:val="18"/>
                <w:szCs w:val="18"/>
              </w:rPr>
            </w:pPr>
            <w:r w:rsidRPr="00FD2ED4">
              <w:rPr>
                <w:rFonts w:ascii="STIX" w:eastAsia="Times New Roman" w:hAnsi="STIX" w:cs="STIX MathJax Main"/>
                <w:b/>
                <w:i/>
                <w:sz w:val="18"/>
                <w:szCs w:val="18"/>
              </w:rPr>
              <w:t>x</w:t>
            </w:r>
            <w:r w:rsidRPr="00FD2ED4">
              <w:rPr>
                <w:rFonts w:ascii="STIX" w:eastAsia="Times New Roman" w:hAnsi="STIX" w:cs="STIX MathJax Main"/>
                <w:b/>
                <w:i/>
                <w:sz w:val="18"/>
                <w:szCs w:val="18"/>
                <w:vertAlign w:val="subscript"/>
              </w:rPr>
              <w:t>u</w:t>
            </w:r>
          </w:p>
        </w:tc>
        <w:tc>
          <w:tcPr>
            <w:tcW w:w="837" w:type="dxa"/>
            <w:tcBorders>
              <w:top w:val="single" w:sz="12" w:space="0" w:color="auto"/>
              <w:left w:val="nil"/>
              <w:bottom w:val="single" w:sz="4" w:space="0" w:color="auto"/>
              <w:right w:val="nil"/>
            </w:tcBorders>
            <w:noWrap/>
            <w:vAlign w:val="center"/>
          </w:tcPr>
          <w:p w:rsidR="00FD2ED4" w:rsidRPr="00FD2ED4" w:rsidRDefault="00FD2ED4" w:rsidP="00FD2ED4">
            <w:pPr>
              <w:spacing w:after="0" w:line="240" w:lineRule="auto"/>
              <w:jc w:val="center"/>
              <w:rPr>
                <w:rFonts w:ascii="STIX MathJax Main" w:eastAsia="Times New Roman" w:hAnsi="STIX MathJax Main" w:cs="STIX MathJax Main"/>
                <w:b/>
                <w:sz w:val="18"/>
                <w:szCs w:val="18"/>
              </w:rPr>
            </w:pPr>
            <w:r w:rsidRPr="00FD2ED4">
              <w:rPr>
                <w:rFonts w:ascii="STIX" w:eastAsia="Times New Roman" w:hAnsi="STIX" w:cs="STIX MathJax Main"/>
                <w:b/>
                <w:i/>
                <w:sz w:val="18"/>
                <w:szCs w:val="18"/>
              </w:rPr>
              <w:t>f</w:t>
            </w:r>
            <w:r w:rsidRPr="00FD2ED4">
              <w:rPr>
                <w:rFonts w:ascii="Courier New" w:eastAsia="Times New Roman" w:hAnsi="Courier New" w:cs="STIX MathJax Main"/>
                <w:b/>
                <w:sz w:val="18"/>
                <w:szCs w:val="18"/>
              </w:rPr>
              <w:t>(</w:t>
            </w:r>
            <w:r w:rsidRPr="00FD2ED4">
              <w:rPr>
                <w:rFonts w:ascii="STIX" w:eastAsia="Times New Roman" w:hAnsi="STIX" w:cs="STIX MathJax Main"/>
                <w:b/>
                <w:i/>
                <w:sz w:val="18"/>
                <w:szCs w:val="18"/>
              </w:rPr>
              <w:t>x</w:t>
            </w:r>
            <w:r w:rsidRPr="00FD2ED4">
              <w:rPr>
                <w:rFonts w:ascii="STIX" w:eastAsia="Times New Roman" w:hAnsi="STIX" w:cs="STIX MathJax Main"/>
                <w:b/>
                <w:i/>
                <w:sz w:val="18"/>
                <w:szCs w:val="18"/>
                <w:vertAlign w:val="subscript"/>
              </w:rPr>
              <w:t>u</w:t>
            </w:r>
            <w:r w:rsidRPr="00FD2ED4">
              <w:rPr>
                <w:rFonts w:ascii="Courier New" w:eastAsia="Times New Roman" w:hAnsi="Courier New" w:cs="STIX MathJax Main"/>
                <w:b/>
                <w:sz w:val="18"/>
                <w:szCs w:val="18"/>
              </w:rPr>
              <w:t>)</w:t>
            </w:r>
          </w:p>
        </w:tc>
        <w:tc>
          <w:tcPr>
            <w:tcW w:w="752" w:type="dxa"/>
            <w:tcBorders>
              <w:top w:val="single" w:sz="12" w:space="0" w:color="auto"/>
              <w:left w:val="nil"/>
              <w:bottom w:val="single" w:sz="4" w:space="0" w:color="auto"/>
              <w:right w:val="nil"/>
            </w:tcBorders>
            <w:noWrap/>
            <w:vAlign w:val="center"/>
          </w:tcPr>
          <w:p w:rsidR="00FD2ED4" w:rsidRPr="00FD2ED4" w:rsidRDefault="00FD2ED4" w:rsidP="00FD2ED4">
            <w:pPr>
              <w:spacing w:after="0" w:line="240" w:lineRule="auto"/>
              <w:jc w:val="center"/>
              <w:rPr>
                <w:rFonts w:ascii="STIX MathJax Main" w:eastAsia="Times New Roman" w:hAnsi="STIX MathJax Main" w:cs="STIX MathJax Main"/>
                <w:b/>
                <w:i/>
                <w:sz w:val="18"/>
                <w:szCs w:val="18"/>
              </w:rPr>
            </w:pPr>
            <w:r w:rsidRPr="00FD2ED4">
              <w:rPr>
                <w:rFonts w:ascii="STIX" w:eastAsia="Times New Roman" w:hAnsi="STIX" w:cs="STIX MathJax Main"/>
                <w:b/>
                <w:i/>
                <w:sz w:val="18"/>
                <w:szCs w:val="18"/>
              </w:rPr>
              <w:t>d</w:t>
            </w:r>
          </w:p>
        </w:tc>
        <w:tc>
          <w:tcPr>
            <w:tcW w:w="837" w:type="dxa"/>
            <w:tcBorders>
              <w:top w:val="single" w:sz="12" w:space="0" w:color="auto"/>
              <w:left w:val="nil"/>
              <w:bottom w:val="single" w:sz="4" w:space="0" w:color="auto"/>
              <w:right w:val="nil"/>
            </w:tcBorders>
            <w:vAlign w:val="center"/>
          </w:tcPr>
          <w:p w:rsidR="00FD2ED4" w:rsidRPr="00FD2ED4" w:rsidRDefault="00FD2ED4" w:rsidP="00FD2ED4">
            <w:pPr>
              <w:spacing w:after="0" w:line="240" w:lineRule="auto"/>
              <w:jc w:val="center"/>
              <w:rPr>
                <w:rFonts w:ascii="STIX MathJax Main" w:eastAsia="Times New Roman" w:hAnsi="STIX MathJax Main" w:cs="STIX MathJax Main"/>
                <w:b/>
                <w:i/>
                <w:sz w:val="18"/>
                <w:szCs w:val="18"/>
              </w:rPr>
            </w:pPr>
            <w:r w:rsidRPr="00FD2ED4">
              <w:rPr>
                <w:rFonts w:ascii="STIX" w:eastAsia="Times New Roman" w:hAnsi="STIX" w:cs="STIX MathJax Main"/>
                <w:b/>
                <w:i/>
                <w:sz w:val="18"/>
                <w:szCs w:val="18"/>
              </w:rPr>
              <w:t>x</w:t>
            </w:r>
            <w:r w:rsidRPr="00FD2ED4">
              <w:rPr>
                <w:rFonts w:ascii="STIX" w:eastAsia="Times New Roman" w:hAnsi="STIX" w:cs="STIX MathJax Main"/>
                <w:b/>
                <w:i/>
                <w:sz w:val="18"/>
                <w:szCs w:val="18"/>
                <w:vertAlign w:val="subscript"/>
              </w:rPr>
              <w:t>opt</w:t>
            </w:r>
          </w:p>
        </w:tc>
        <w:tc>
          <w:tcPr>
            <w:tcW w:w="909" w:type="dxa"/>
            <w:tcBorders>
              <w:top w:val="single" w:sz="12" w:space="0" w:color="auto"/>
              <w:left w:val="nil"/>
              <w:bottom w:val="single" w:sz="4" w:space="0" w:color="auto"/>
              <w:right w:val="nil"/>
            </w:tcBorders>
            <w:vAlign w:val="center"/>
          </w:tcPr>
          <w:p w:rsidR="00FD2ED4" w:rsidRPr="00FD2ED4" w:rsidRDefault="00FD2ED4" w:rsidP="00FD2ED4">
            <w:pPr>
              <w:spacing w:after="0" w:line="240" w:lineRule="auto"/>
              <w:jc w:val="center"/>
              <w:rPr>
                <w:rFonts w:ascii="STIX MathJax Main" w:eastAsia="Times New Roman" w:hAnsi="STIX MathJax Main" w:cs="STIX MathJax Main"/>
                <w:b/>
                <w:i/>
                <w:sz w:val="18"/>
                <w:szCs w:val="18"/>
              </w:rPr>
            </w:pPr>
            <w:r w:rsidRPr="00FD2ED4">
              <w:rPr>
                <w:rFonts w:ascii="Courier New" w:eastAsia="Times New Roman" w:hAnsi="Courier New" w:cs="STIX MathJax Main"/>
                <w:b/>
                <w:i/>
                <w:sz w:val="18"/>
                <w:szCs w:val="18"/>
              </w:rPr>
              <w:sym w:font="Symbol" w:char="F065"/>
            </w:r>
            <w:r w:rsidRPr="00FD2ED4">
              <w:rPr>
                <w:rFonts w:ascii="STIX" w:eastAsia="Times New Roman" w:hAnsi="STIX" w:cs="STIX MathJax Main"/>
                <w:b/>
                <w:i/>
                <w:sz w:val="18"/>
                <w:szCs w:val="18"/>
                <w:vertAlign w:val="subscript"/>
              </w:rPr>
              <w:t>a</w:t>
            </w:r>
          </w:p>
        </w:tc>
      </w:tr>
      <w:tr w:rsidR="00FD2ED4" w:rsidRPr="00FD2ED4" w:rsidTr="00FD2ED4">
        <w:trPr>
          <w:trHeight w:val="149"/>
        </w:trPr>
        <w:tc>
          <w:tcPr>
            <w:tcW w:w="430"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1</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w:t>
            </w:r>
          </w:p>
        </w:tc>
        <w:tc>
          <w:tcPr>
            <w:tcW w:w="936"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0.0000</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0.7639</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0.8524</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1.2361</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0.5365</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2</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0.0733</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1.2361</w:t>
            </w:r>
          </w:p>
        </w:tc>
        <w:tc>
          <w:tcPr>
            <w:tcW w:w="837" w:type="dxa"/>
            <w:tcBorders>
              <w:top w:val="nil"/>
              <w:left w:val="nil"/>
              <w:right w:val="nil"/>
            </w:tcBorders>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0.7639</w:t>
            </w:r>
          </w:p>
        </w:tc>
        <w:tc>
          <w:tcPr>
            <w:tcW w:w="909" w:type="dxa"/>
            <w:tcBorders>
              <w:top w:val="nil"/>
              <w:left w:val="nil"/>
              <w:right w:val="nil"/>
            </w:tcBorders>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100.00</w:t>
            </w:r>
            <w:r w:rsidRPr="00FD2ED4">
              <w:rPr>
                <w:rFonts w:ascii="Courier New" w:eastAsia="Times New Roman" w:hAnsi="Courier New" w:cs="STIX MathJax Main"/>
                <w:sz w:val="18"/>
                <w:szCs w:val="18"/>
              </w:rPr>
              <w:t>%</w:t>
            </w:r>
          </w:p>
        </w:tc>
      </w:tr>
      <w:tr w:rsidR="00FD2ED4" w:rsidRPr="00FD2ED4" w:rsidTr="00FD2ED4">
        <w:trPr>
          <w:trHeight w:val="149"/>
        </w:trPr>
        <w:tc>
          <w:tcPr>
            <w:tcW w:w="430"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2</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w:t>
            </w:r>
          </w:p>
        </w:tc>
        <w:tc>
          <w:tcPr>
            <w:tcW w:w="936"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0.0000</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0.4721</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0.7556</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0.7639</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0.8524</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1.2361</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0.5365</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0.7639</w:t>
            </w:r>
          </w:p>
        </w:tc>
        <w:tc>
          <w:tcPr>
            <w:tcW w:w="837" w:type="dxa"/>
            <w:tcBorders>
              <w:top w:val="nil"/>
              <w:left w:val="nil"/>
              <w:right w:val="nil"/>
            </w:tcBorders>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0.7639</w:t>
            </w:r>
          </w:p>
        </w:tc>
        <w:tc>
          <w:tcPr>
            <w:tcW w:w="909" w:type="dxa"/>
            <w:tcBorders>
              <w:top w:val="nil"/>
              <w:left w:val="nil"/>
              <w:right w:val="nil"/>
            </w:tcBorders>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61.80</w:t>
            </w:r>
            <w:r w:rsidRPr="00FD2ED4">
              <w:rPr>
                <w:rFonts w:ascii="Courier New" w:eastAsia="Times New Roman" w:hAnsi="Courier New" w:cs="STIX MathJax Main"/>
                <w:sz w:val="18"/>
                <w:szCs w:val="18"/>
              </w:rPr>
              <w:t>%</w:t>
            </w:r>
          </w:p>
        </w:tc>
      </w:tr>
      <w:tr w:rsidR="00FD2ED4" w:rsidRPr="00FD2ED4" w:rsidTr="00FD2ED4">
        <w:trPr>
          <w:trHeight w:val="149"/>
        </w:trPr>
        <w:tc>
          <w:tcPr>
            <w:tcW w:w="430"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3</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0.4721</w:t>
            </w:r>
          </w:p>
        </w:tc>
        <w:tc>
          <w:tcPr>
            <w:tcW w:w="936"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0.7556</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0.7639</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0.8524</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0.9443</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0.7743</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1.2361</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0.5365</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0.4721</w:t>
            </w:r>
          </w:p>
        </w:tc>
        <w:tc>
          <w:tcPr>
            <w:tcW w:w="837" w:type="dxa"/>
            <w:tcBorders>
              <w:top w:val="nil"/>
              <w:left w:val="nil"/>
              <w:right w:val="nil"/>
            </w:tcBorders>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0.7639</w:t>
            </w:r>
          </w:p>
        </w:tc>
        <w:tc>
          <w:tcPr>
            <w:tcW w:w="909" w:type="dxa"/>
            <w:tcBorders>
              <w:top w:val="nil"/>
              <w:left w:val="nil"/>
              <w:right w:val="nil"/>
            </w:tcBorders>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38.20</w:t>
            </w:r>
            <w:r w:rsidRPr="00FD2ED4">
              <w:rPr>
                <w:rFonts w:ascii="Courier New" w:eastAsia="Times New Roman" w:hAnsi="Courier New" w:cs="STIX MathJax Main"/>
                <w:sz w:val="18"/>
                <w:szCs w:val="18"/>
              </w:rPr>
              <w:t>%</w:t>
            </w:r>
          </w:p>
        </w:tc>
      </w:tr>
      <w:tr w:rsidR="00FD2ED4" w:rsidRPr="00FD2ED4" w:rsidTr="00FD2ED4">
        <w:trPr>
          <w:trHeight w:val="149"/>
        </w:trPr>
        <w:tc>
          <w:tcPr>
            <w:tcW w:w="430"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4</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0.4721</w:t>
            </w:r>
          </w:p>
        </w:tc>
        <w:tc>
          <w:tcPr>
            <w:tcW w:w="936"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0.7556</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0.6525</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0.8525</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0.7639</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0.8524</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0.9443</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0.7743</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0.2918</w:t>
            </w:r>
          </w:p>
        </w:tc>
        <w:tc>
          <w:tcPr>
            <w:tcW w:w="837" w:type="dxa"/>
            <w:tcBorders>
              <w:top w:val="nil"/>
              <w:left w:val="nil"/>
              <w:right w:val="nil"/>
            </w:tcBorders>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0.6525</w:t>
            </w:r>
          </w:p>
        </w:tc>
        <w:tc>
          <w:tcPr>
            <w:tcW w:w="909" w:type="dxa"/>
            <w:tcBorders>
              <w:top w:val="nil"/>
              <w:left w:val="nil"/>
              <w:right w:val="nil"/>
            </w:tcBorders>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27.64</w:t>
            </w:r>
            <w:r w:rsidRPr="00FD2ED4">
              <w:rPr>
                <w:rFonts w:ascii="Courier New" w:eastAsia="Times New Roman" w:hAnsi="Courier New" w:cs="STIX MathJax Main"/>
                <w:sz w:val="18"/>
                <w:szCs w:val="18"/>
              </w:rPr>
              <w:t>%</w:t>
            </w:r>
          </w:p>
        </w:tc>
      </w:tr>
      <w:tr w:rsidR="00FD2ED4" w:rsidRPr="00FD2ED4" w:rsidTr="00FD2ED4">
        <w:trPr>
          <w:trHeight w:val="149"/>
        </w:trPr>
        <w:tc>
          <w:tcPr>
            <w:tcW w:w="430"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5</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0.4721</w:t>
            </w:r>
          </w:p>
        </w:tc>
        <w:tc>
          <w:tcPr>
            <w:tcW w:w="936"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0.7556</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0.5836</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0.8303</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0.6525</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0.8525</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0.7639</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0.8524</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0.1803</w:t>
            </w:r>
          </w:p>
        </w:tc>
        <w:tc>
          <w:tcPr>
            <w:tcW w:w="837" w:type="dxa"/>
            <w:tcBorders>
              <w:top w:val="nil"/>
              <w:left w:val="nil"/>
              <w:right w:val="nil"/>
            </w:tcBorders>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0.6525</w:t>
            </w:r>
          </w:p>
        </w:tc>
        <w:tc>
          <w:tcPr>
            <w:tcW w:w="909" w:type="dxa"/>
            <w:tcBorders>
              <w:top w:val="nil"/>
              <w:left w:val="nil"/>
              <w:right w:val="nil"/>
            </w:tcBorders>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17.08</w:t>
            </w:r>
            <w:r w:rsidRPr="00FD2ED4">
              <w:rPr>
                <w:rFonts w:ascii="Courier New" w:eastAsia="Times New Roman" w:hAnsi="Courier New" w:cs="STIX MathJax Main"/>
                <w:sz w:val="18"/>
                <w:szCs w:val="18"/>
              </w:rPr>
              <w:t>%</w:t>
            </w:r>
          </w:p>
        </w:tc>
      </w:tr>
      <w:tr w:rsidR="00FD2ED4" w:rsidRPr="00FD2ED4" w:rsidTr="00FD2ED4">
        <w:trPr>
          <w:trHeight w:val="149"/>
        </w:trPr>
        <w:tc>
          <w:tcPr>
            <w:tcW w:w="430"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6</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0.5836</w:t>
            </w:r>
          </w:p>
        </w:tc>
        <w:tc>
          <w:tcPr>
            <w:tcW w:w="936"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0.8303</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0.6525</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0.8525</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0.6950</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0.8575</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0.7639</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0.8524</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0.1115</w:t>
            </w:r>
          </w:p>
        </w:tc>
        <w:tc>
          <w:tcPr>
            <w:tcW w:w="837" w:type="dxa"/>
            <w:tcBorders>
              <w:top w:val="nil"/>
              <w:left w:val="nil"/>
              <w:right w:val="nil"/>
            </w:tcBorders>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0.6950</w:t>
            </w:r>
          </w:p>
        </w:tc>
        <w:tc>
          <w:tcPr>
            <w:tcW w:w="909" w:type="dxa"/>
            <w:tcBorders>
              <w:top w:val="nil"/>
              <w:left w:val="nil"/>
              <w:right w:val="nil"/>
            </w:tcBorders>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9.91</w:t>
            </w:r>
            <w:r w:rsidRPr="00FD2ED4">
              <w:rPr>
                <w:rFonts w:ascii="Courier New" w:eastAsia="Times New Roman" w:hAnsi="Courier New" w:cs="STIX MathJax Main"/>
                <w:sz w:val="18"/>
                <w:szCs w:val="18"/>
              </w:rPr>
              <w:t>%</w:t>
            </w:r>
          </w:p>
        </w:tc>
      </w:tr>
      <w:tr w:rsidR="00FD2ED4" w:rsidRPr="00FD2ED4" w:rsidTr="00FD2ED4">
        <w:trPr>
          <w:trHeight w:val="149"/>
        </w:trPr>
        <w:tc>
          <w:tcPr>
            <w:tcW w:w="430"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7</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0.6525</w:t>
            </w:r>
          </w:p>
        </w:tc>
        <w:tc>
          <w:tcPr>
            <w:tcW w:w="936"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0.8525</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0.6950</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0.8575</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0.7214</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0.8574</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0.7639</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0.8524</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0.0689</w:t>
            </w:r>
          </w:p>
        </w:tc>
        <w:tc>
          <w:tcPr>
            <w:tcW w:w="837" w:type="dxa"/>
            <w:tcBorders>
              <w:top w:val="nil"/>
              <w:left w:val="nil"/>
              <w:right w:val="nil"/>
            </w:tcBorders>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0.6950</w:t>
            </w:r>
          </w:p>
        </w:tc>
        <w:tc>
          <w:tcPr>
            <w:tcW w:w="909" w:type="dxa"/>
            <w:tcBorders>
              <w:top w:val="nil"/>
              <w:left w:val="nil"/>
              <w:right w:val="nil"/>
            </w:tcBorders>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6.13</w:t>
            </w:r>
            <w:r w:rsidRPr="00FD2ED4">
              <w:rPr>
                <w:rFonts w:ascii="Courier New" w:eastAsia="Times New Roman" w:hAnsi="Courier New" w:cs="STIX MathJax Main"/>
                <w:sz w:val="18"/>
                <w:szCs w:val="18"/>
              </w:rPr>
              <w:t>%</w:t>
            </w:r>
          </w:p>
        </w:tc>
      </w:tr>
      <w:tr w:rsidR="00FD2ED4" w:rsidRPr="00FD2ED4" w:rsidTr="00FD2ED4">
        <w:trPr>
          <w:trHeight w:val="149"/>
        </w:trPr>
        <w:tc>
          <w:tcPr>
            <w:tcW w:w="430"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8</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0.6525</w:t>
            </w:r>
          </w:p>
        </w:tc>
        <w:tc>
          <w:tcPr>
            <w:tcW w:w="936"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0.8525</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0.6788</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0.8564</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0.6950</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0.8575</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0.7214</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0.8574</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0.0426</w:t>
            </w:r>
          </w:p>
        </w:tc>
        <w:tc>
          <w:tcPr>
            <w:tcW w:w="837" w:type="dxa"/>
            <w:tcBorders>
              <w:top w:val="nil"/>
              <w:left w:val="nil"/>
              <w:right w:val="nil"/>
            </w:tcBorders>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0.6950</w:t>
            </w:r>
          </w:p>
        </w:tc>
        <w:tc>
          <w:tcPr>
            <w:tcW w:w="909" w:type="dxa"/>
            <w:tcBorders>
              <w:top w:val="nil"/>
              <w:left w:val="nil"/>
              <w:right w:val="nil"/>
            </w:tcBorders>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3.79</w:t>
            </w:r>
            <w:r w:rsidRPr="00FD2ED4">
              <w:rPr>
                <w:rFonts w:ascii="Courier New" w:eastAsia="Times New Roman" w:hAnsi="Courier New" w:cs="STIX MathJax Main"/>
                <w:sz w:val="18"/>
                <w:szCs w:val="18"/>
              </w:rPr>
              <w:t>%</w:t>
            </w:r>
          </w:p>
        </w:tc>
      </w:tr>
      <w:tr w:rsidR="00FD2ED4" w:rsidRPr="00FD2ED4" w:rsidTr="00FD2ED4">
        <w:trPr>
          <w:trHeight w:val="149"/>
        </w:trPr>
        <w:tc>
          <w:tcPr>
            <w:tcW w:w="430"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9</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0.6788</w:t>
            </w:r>
          </w:p>
        </w:tc>
        <w:tc>
          <w:tcPr>
            <w:tcW w:w="936"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0.8564</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0.6950</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0.8575</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0.7051</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0.8578</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0.7214</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0.8574</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0.0263</w:t>
            </w:r>
          </w:p>
        </w:tc>
        <w:tc>
          <w:tcPr>
            <w:tcW w:w="837" w:type="dxa"/>
            <w:tcBorders>
              <w:top w:val="nil"/>
              <w:left w:val="nil"/>
              <w:right w:val="nil"/>
            </w:tcBorders>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0.7051</w:t>
            </w:r>
          </w:p>
        </w:tc>
        <w:tc>
          <w:tcPr>
            <w:tcW w:w="909" w:type="dxa"/>
            <w:tcBorders>
              <w:top w:val="nil"/>
              <w:left w:val="nil"/>
              <w:right w:val="nil"/>
            </w:tcBorders>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2.31</w:t>
            </w:r>
            <w:r w:rsidRPr="00FD2ED4">
              <w:rPr>
                <w:rFonts w:ascii="Courier New" w:eastAsia="Times New Roman" w:hAnsi="Courier New" w:cs="STIX MathJax Main"/>
                <w:sz w:val="18"/>
                <w:szCs w:val="18"/>
              </w:rPr>
              <w:t>%</w:t>
            </w:r>
          </w:p>
        </w:tc>
      </w:tr>
      <w:tr w:rsidR="00FD2ED4" w:rsidRPr="00FD2ED4" w:rsidTr="00FD2ED4">
        <w:trPr>
          <w:trHeight w:val="149"/>
        </w:trPr>
        <w:tc>
          <w:tcPr>
            <w:tcW w:w="430"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10</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0.6950</w:t>
            </w:r>
          </w:p>
        </w:tc>
        <w:tc>
          <w:tcPr>
            <w:tcW w:w="936"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0.8575</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0.7051</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0.8578</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0.7113</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0.8577</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0.7214</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0.8574</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0.0163</w:t>
            </w:r>
          </w:p>
        </w:tc>
        <w:tc>
          <w:tcPr>
            <w:tcW w:w="837" w:type="dxa"/>
            <w:tcBorders>
              <w:top w:val="nil"/>
              <w:left w:val="nil"/>
              <w:right w:val="nil"/>
            </w:tcBorders>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0.7051</w:t>
            </w:r>
          </w:p>
        </w:tc>
        <w:tc>
          <w:tcPr>
            <w:tcW w:w="909" w:type="dxa"/>
            <w:tcBorders>
              <w:top w:val="nil"/>
              <w:left w:val="nil"/>
              <w:right w:val="nil"/>
            </w:tcBorders>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1.43</w:t>
            </w:r>
            <w:r w:rsidRPr="00FD2ED4">
              <w:rPr>
                <w:rFonts w:ascii="Courier New" w:eastAsia="Times New Roman" w:hAnsi="Courier New" w:cs="STIX MathJax Main"/>
                <w:sz w:val="18"/>
                <w:szCs w:val="18"/>
              </w:rPr>
              <w:t>%</w:t>
            </w:r>
          </w:p>
        </w:tc>
      </w:tr>
      <w:tr w:rsidR="00FD2ED4" w:rsidRPr="00FD2ED4" w:rsidTr="00FD2ED4">
        <w:trPr>
          <w:trHeight w:val="149"/>
        </w:trPr>
        <w:tc>
          <w:tcPr>
            <w:tcW w:w="430"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11</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0.6950</w:t>
            </w:r>
          </w:p>
        </w:tc>
        <w:tc>
          <w:tcPr>
            <w:tcW w:w="936"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0.8575</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0.7013</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0.8577</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0.7051</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0.8578</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0.7113</w:t>
            </w:r>
          </w:p>
        </w:tc>
        <w:tc>
          <w:tcPr>
            <w:tcW w:w="837"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Courier New" w:eastAsia="Times New Roman" w:hAnsi="Courier New" w:cs="STIX MathJax Main"/>
                <w:sz w:val="18"/>
                <w:szCs w:val="18"/>
              </w:rPr>
              <w:t>-</w:t>
            </w:r>
            <w:r w:rsidRPr="00FD2ED4">
              <w:rPr>
                <w:rFonts w:ascii="STIX" w:eastAsia="Times New Roman" w:hAnsi="STIX" w:cs="STIX MathJax Main"/>
                <w:sz w:val="18"/>
                <w:szCs w:val="18"/>
              </w:rPr>
              <w:t>0.8577</w:t>
            </w:r>
          </w:p>
        </w:tc>
        <w:tc>
          <w:tcPr>
            <w:tcW w:w="752" w:type="dxa"/>
            <w:tcBorders>
              <w:top w:val="nil"/>
              <w:left w:val="nil"/>
              <w:right w:val="nil"/>
            </w:tcBorders>
            <w:noWrap/>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0.0100</w:t>
            </w:r>
          </w:p>
        </w:tc>
        <w:tc>
          <w:tcPr>
            <w:tcW w:w="837" w:type="dxa"/>
            <w:tcBorders>
              <w:top w:val="nil"/>
              <w:left w:val="nil"/>
              <w:right w:val="nil"/>
            </w:tcBorders>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0.7051</w:t>
            </w:r>
          </w:p>
        </w:tc>
        <w:tc>
          <w:tcPr>
            <w:tcW w:w="909" w:type="dxa"/>
            <w:tcBorders>
              <w:top w:val="nil"/>
              <w:left w:val="nil"/>
              <w:right w:val="nil"/>
            </w:tcBorders>
            <w:vAlign w:val="center"/>
          </w:tcPr>
          <w:p w:rsidR="00FD2ED4" w:rsidRPr="00FD2ED4" w:rsidRDefault="00FD2ED4" w:rsidP="00FD2ED4">
            <w:pPr>
              <w:spacing w:after="0" w:line="240" w:lineRule="auto"/>
              <w:jc w:val="right"/>
              <w:rPr>
                <w:rFonts w:ascii="STIX MathJax Main" w:eastAsia="Times New Roman" w:hAnsi="STIX MathJax Main" w:cs="STIX MathJax Main"/>
                <w:sz w:val="18"/>
                <w:szCs w:val="18"/>
              </w:rPr>
            </w:pPr>
            <w:r w:rsidRPr="00FD2ED4">
              <w:rPr>
                <w:rFonts w:ascii="STIX" w:eastAsia="Times New Roman" w:hAnsi="STIX" w:cs="STIX MathJax Main"/>
                <w:sz w:val="18"/>
                <w:szCs w:val="18"/>
              </w:rPr>
              <w:t>0.88</w:t>
            </w:r>
            <w:r w:rsidRPr="00FD2ED4">
              <w:rPr>
                <w:rFonts w:ascii="Courier New" w:eastAsia="Times New Roman" w:hAnsi="Courier New" w:cs="STIX MathJax Main"/>
                <w:sz w:val="18"/>
                <w:szCs w:val="18"/>
              </w:rPr>
              <w:t>%</w:t>
            </w:r>
          </w:p>
        </w:tc>
      </w:tr>
    </w:tbl>
    <w:p w:rsidR="00FD2ED4" w:rsidRPr="00FD2ED4" w:rsidRDefault="00FD2ED4" w:rsidP="00FD2ED4">
      <w:pPr>
        <w:spacing w:after="0" w:line="240" w:lineRule="auto"/>
        <w:rPr>
          <w:rFonts w:ascii="STIX" w:eastAsia="Times New Roman" w:hAnsi="STIX"/>
          <w:sz w:val="20"/>
          <w:szCs w:val="24"/>
        </w:rPr>
      </w:pPr>
    </w:p>
    <w:p w:rsidR="00FD2ED4" w:rsidRPr="00FD2ED4" w:rsidRDefault="00FD2ED4" w:rsidP="00FD2ED4">
      <w:pPr>
        <w:spacing w:after="0" w:line="240" w:lineRule="auto"/>
        <w:ind w:right="-360"/>
        <w:rPr>
          <w:rFonts w:ascii="STIX" w:eastAsia="Times New Roman" w:hAnsi="STIX"/>
          <w:sz w:val="20"/>
          <w:szCs w:val="24"/>
        </w:rPr>
      </w:pPr>
      <w:r w:rsidRPr="00FD2ED4">
        <w:rPr>
          <w:rFonts w:ascii="STIX" w:eastAsia="Times New Roman" w:hAnsi="STIX"/>
          <w:sz w:val="20"/>
          <w:szCs w:val="24"/>
        </w:rPr>
        <w:t>After eleven iterations, the process falls below a stopping of 1</w:t>
      </w:r>
      <w:r w:rsidRPr="00FD2ED4">
        <w:rPr>
          <w:rFonts w:ascii="Courier New" w:eastAsia="Times New Roman" w:hAnsi="Courier New"/>
          <w:sz w:val="20"/>
          <w:szCs w:val="24"/>
        </w:rPr>
        <w:t>%</w:t>
      </w:r>
      <w:r w:rsidRPr="00FD2ED4">
        <w:rPr>
          <w:rFonts w:ascii="STIX" w:eastAsia="Times New Roman" w:hAnsi="STIX"/>
          <w:sz w:val="20"/>
          <w:szCs w:val="24"/>
        </w:rPr>
        <w:t xml:space="preserve"> criterion and the result is converging on the true minimum at </w:t>
      </w:r>
      <w:r w:rsidRPr="00FD2ED4">
        <w:rPr>
          <w:rFonts w:ascii="STIX" w:eastAsia="Times New Roman" w:hAnsi="STIX"/>
          <w:i/>
          <w:sz w:val="20"/>
          <w:szCs w:val="24"/>
        </w:rPr>
        <w:t>x</w:t>
      </w:r>
      <w:r w:rsidR="00405464">
        <w:rPr>
          <w:rFonts w:ascii="STIX" w:eastAsia="Times New Roman" w:hAnsi="STIX"/>
          <w:sz w:val="20"/>
          <w:szCs w:val="24"/>
        </w:rPr>
        <w:t> </w:t>
      </w:r>
      <w:r w:rsidRPr="00FD2ED4">
        <w:rPr>
          <w:rFonts w:ascii="Courier New" w:eastAsia="Times New Roman" w:hAnsi="Courier New"/>
          <w:sz w:val="20"/>
          <w:szCs w:val="24"/>
        </w:rPr>
        <w:t>=</w:t>
      </w:r>
      <w:r w:rsidR="00405464">
        <w:rPr>
          <w:rFonts w:ascii="STIX" w:eastAsia="Times New Roman" w:hAnsi="STIX"/>
          <w:sz w:val="20"/>
          <w:szCs w:val="24"/>
        </w:rPr>
        <w:t> </w:t>
      </w:r>
      <w:r w:rsidRPr="00FD2ED4">
        <w:rPr>
          <w:rFonts w:ascii="STIX" w:eastAsia="Times New Roman" w:hAnsi="STIX"/>
          <w:sz w:val="20"/>
          <w:szCs w:val="24"/>
        </w:rPr>
        <w:t xml:space="preserve">0.707107 where the function has a value of </w:t>
      </w:r>
      <w:r w:rsidRPr="00FD2ED4">
        <w:rPr>
          <w:rFonts w:ascii="STIX" w:eastAsia="Times New Roman" w:hAnsi="STIX"/>
          <w:i/>
          <w:sz w:val="20"/>
          <w:szCs w:val="24"/>
        </w:rPr>
        <w:t>y</w:t>
      </w:r>
      <w:r w:rsidRPr="00FD2ED4">
        <w:rPr>
          <w:rFonts w:ascii="STIX" w:eastAsia="Times New Roman" w:hAnsi="STIX"/>
          <w:sz w:val="20"/>
          <w:szCs w:val="24"/>
        </w:rPr>
        <w:t xml:space="preserve"> </w:t>
      </w:r>
      <w:r w:rsidRPr="00FD2ED4">
        <w:rPr>
          <w:rFonts w:ascii="Courier New" w:eastAsia="Times New Roman" w:hAnsi="Courier New"/>
          <w:sz w:val="20"/>
          <w:szCs w:val="24"/>
        </w:rPr>
        <w:t>=</w:t>
      </w:r>
      <w:r w:rsidRPr="00FD2ED4">
        <w:rPr>
          <w:rFonts w:ascii="STIX" w:eastAsia="Times New Roman" w:hAnsi="STIX"/>
          <w:sz w:val="20"/>
          <w:szCs w:val="24"/>
        </w:rPr>
        <w:t xml:space="preserve"> </w:t>
      </w:r>
      <w:r w:rsidRPr="00FD2ED4">
        <w:rPr>
          <w:rFonts w:ascii="Courier New" w:eastAsia="Times New Roman" w:hAnsi="Courier New"/>
          <w:sz w:val="20"/>
          <w:szCs w:val="24"/>
        </w:rPr>
        <w:t>-</w:t>
      </w:r>
      <w:r w:rsidRPr="00FD2ED4">
        <w:rPr>
          <w:rFonts w:ascii="STIX" w:eastAsia="Times New Roman" w:hAnsi="STIX"/>
          <w:sz w:val="20"/>
          <w:szCs w:val="24"/>
        </w:rPr>
        <w:t>0.85776.</w:t>
      </w:r>
    </w:p>
    <w:p w:rsidR="00033725" w:rsidRPr="00033725" w:rsidRDefault="00033725" w:rsidP="00FD2ED4">
      <w:pPr>
        <w:spacing w:after="0" w:line="240" w:lineRule="auto"/>
        <w:rPr>
          <w:rFonts w:ascii="Courier New" w:eastAsia="Times New Roman" w:hAnsi="Courier New" w:cs="Courier New"/>
          <w:sz w:val="18"/>
          <w:szCs w:val="18"/>
        </w:rPr>
      </w:pPr>
    </w:p>
    <w:sectPr w:rsidR="00033725" w:rsidRPr="00033725" w:rsidSect="002C1C68">
      <w:footerReference w:type="default" r:id="rId2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464"/>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6EB"/>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4B96F-E8CA-4903-A833-F02B9036E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1551</Characters>
  <Application>Microsoft Office Word</Application>
  <DocSecurity>0</DocSecurity>
  <Lines>12</Lines>
  <Paragraphs>3</Paragraphs>
  <ScaleCrop>false</ScaleCrop>
  <Company/>
  <LinksUpToDate>false</LinksUpToDate>
  <CharactersWithSpaces>1819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2017-03-30T15:27:00Z</dcterms:created>
  <dcterms:modified xsi:type="dcterms:W3CDTF">2017-04-02T17:56:00Z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