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B321E">
        <w:rPr>
          <w:b/>
          <w:noProof/>
          <w:sz w:val="20"/>
          <w:szCs w:val="20"/>
        </w:rPr>
        <w:t>7.28</w:t>
      </w:r>
    </w:p>
    <w:p w:rsidR="00151105" w:rsidRDefault="00151105" w:rsidP="00BC029E">
      <w:pPr>
        <w:autoSpaceDE w:val="0"/>
        <w:autoSpaceDN w:val="0"/>
        <w:adjustRightInd w:val="0"/>
        <w:spacing w:after="0" w:line="240" w:lineRule="auto"/>
        <w:rPr>
          <w:rFonts w:ascii="STIX" w:eastAsia="Times New Roman" w:hAnsi="STIX"/>
          <w:sz w:val="20"/>
          <w:szCs w:val="24"/>
        </w:rPr>
      </w:pPr>
    </w:p>
    <w:p w:rsidR="003B321E" w:rsidRPr="003B321E" w:rsidRDefault="003B321E" w:rsidP="003B321E">
      <w:pPr>
        <w:spacing w:after="0" w:line="240" w:lineRule="auto"/>
        <w:rPr>
          <w:rFonts w:ascii="STIX" w:eastAsia="Times New Roman" w:hAnsi="STIX"/>
          <w:sz w:val="20"/>
          <w:szCs w:val="20"/>
        </w:rPr>
      </w:pPr>
      <w:r w:rsidRPr="003B321E">
        <w:rPr>
          <w:rFonts w:ascii="STIX" w:eastAsia="Times New Roman" w:hAnsi="STIX"/>
          <w:sz w:val="20"/>
          <w:szCs w:val="20"/>
        </w:rPr>
        <w:t>This problem can be solved in a number of different ways. For example, using the golden section search, the result is</w:t>
      </w:r>
    </w:p>
    <w:p w:rsidR="003B321E" w:rsidRPr="003B321E" w:rsidRDefault="003B321E" w:rsidP="003B321E">
      <w:pPr>
        <w:spacing w:after="0" w:line="240" w:lineRule="auto"/>
        <w:rPr>
          <w:rFonts w:ascii="STIX" w:eastAsia="Times New Roman" w:hAnsi="STIX"/>
          <w:sz w:val="20"/>
          <w:szCs w:val="24"/>
        </w:rPr>
      </w:pPr>
    </w:p>
    <w:tbl>
      <w:tblPr>
        <w:tblW w:w="9087" w:type="dxa"/>
        <w:tblInd w:w="144" w:type="dxa"/>
        <w:tblLook w:val="0000"/>
      </w:tblPr>
      <w:tblGrid>
        <w:gridCol w:w="396"/>
        <w:gridCol w:w="801"/>
        <w:gridCol w:w="728"/>
        <w:gridCol w:w="728"/>
        <w:gridCol w:w="766"/>
        <w:gridCol w:w="728"/>
        <w:gridCol w:w="728"/>
        <w:gridCol w:w="824"/>
        <w:gridCol w:w="797"/>
        <w:gridCol w:w="855"/>
        <w:gridCol w:w="855"/>
        <w:gridCol w:w="881"/>
      </w:tblGrid>
      <w:tr w:rsidR="003B321E" w:rsidRPr="003B321E" w:rsidTr="003B321E">
        <w:trPr>
          <w:trHeight w:val="146"/>
        </w:trPr>
        <w:tc>
          <w:tcPr>
            <w:tcW w:w="396"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STIX" w:eastAsia="Times New Roman" w:hAnsi="STIX" w:cs="STIX MathJax Main"/>
                <w:b/>
                <w:i/>
                <w:sz w:val="18"/>
                <w:szCs w:val="18"/>
              </w:rPr>
              <w:t>i</w:t>
            </w:r>
          </w:p>
        </w:tc>
        <w:tc>
          <w:tcPr>
            <w:tcW w:w="801"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STIX" w:eastAsia="Times New Roman" w:hAnsi="STIX" w:cs="STIX MathJax Main"/>
                <w:b/>
                <w:i/>
                <w:sz w:val="18"/>
                <w:szCs w:val="18"/>
              </w:rPr>
              <w:t>c</w:t>
            </w:r>
            <w:r w:rsidRPr="003B321E">
              <w:rPr>
                <w:rFonts w:ascii="STIX" w:eastAsia="Times New Roman" w:hAnsi="STIX" w:cs="STIX MathJax Main"/>
                <w:b/>
                <w:i/>
                <w:sz w:val="18"/>
                <w:szCs w:val="18"/>
                <w:vertAlign w:val="subscript"/>
              </w:rPr>
              <w:t>l</w:t>
            </w:r>
          </w:p>
        </w:tc>
        <w:tc>
          <w:tcPr>
            <w:tcW w:w="728"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g</w:t>
            </w:r>
            <w:r w:rsidRPr="003B321E">
              <w:rPr>
                <w:rFonts w:ascii="Courier New" w:eastAsia="Times New Roman" w:hAnsi="Courier New" w:cs="STIX MathJax Main"/>
                <w:b/>
                <w:sz w:val="18"/>
                <w:szCs w:val="18"/>
              </w:rPr>
              <w:t>(</w:t>
            </w:r>
            <w:r w:rsidRPr="003B321E">
              <w:rPr>
                <w:rFonts w:ascii="STIX" w:eastAsia="Times New Roman" w:hAnsi="STIX" w:cs="STIX MathJax Main"/>
                <w:b/>
                <w:i/>
                <w:sz w:val="18"/>
                <w:szCs w:val="18"/>
              </w:rPr>
              <w:t>c</w:t>
            </w:r>
            <w:r w:rsidRPr="003B321E">
              <w:rPr>
                <w:rFonts w:ascii="STIX" w:eastAsia="Times New Roman" w:hAnsi="STIX" w:cs="STIX MathJax Main"/>
                <w:b/>
                <w:i/>
                <w:sz w:val="18"/>
                <w:szCs w:val="18"/>
                <w:vertAlign w:val="subscript"/>
              </w:rPr>
              <w:t>l</w:t>
            </w:r>
            <w:r w:rsidRPr="003B321E">
              <w:rPr>
                <w:rFonts w:ascii="Courier New" w:eastAsia="Times New Roman" w:hAnsi="Courier New" w:cs="STIX MathJax Main"/>
                <w:b/>
                <w:sz w:val="18"/>
                <w:szCs w:val="18"/>
              </w:rPr>
              <w:t>)</w:t>
            </w:r>
          </w:p>
        </w:tc>
        <w:tc>
          <w:tcPr>
            <w:tcW w:w="728"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c</w:t>
            </w:r>
            <w:r w:rsidRPr="003B321E">
              <w:rPr>
                <w:rFonts w:ascii="STIX" w:eastAsia="Times New Roman" w:hAnsi="STIX" w:cs="STIX MathJax Main"/>
                <w:b/>
                <w:sz w:val="18"/>
                <w:szCs w:val="18"/>
                <w:vertAlign w:val="subscript"/>
              </w:rPr>
              <w:t>2</w:t>
            </w:r>
          </w:p>
        </w:tc>
        <w:tc>
          <w:tcPr>
            <w:tcW w:w="766"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g</w:t>
            </w:r>
            <w:r w:rsidRPr="003B321E">
              <w:rPr>
                <w:rFonts w:ascii="Courier New" w:eastAsia="Times New Roman" w:hAnsi="Courier New" w:cs="STIX MathJax Main"/>
                <w:b/>
                <w:sz w:val="18"/>
                <w:szCs w:val="18"/>
              </w:rPr>
              <w:t>(</w:t>
            </w:r>
            <w:r w:rsidRPr="003B321E">
              <w:rPr>
                <w:rFonts w:ascii="STIX" w:eastAsia="Times New Roman" w:hAnsi="STIX" w:cs="STIX MathJax Main"/>
                <w:b/>
                <w:i/>
                <w:sz w:val="18"/>
                <w:szCs w:val="18"/>
              </w:rPr>
              <w:t>c</w:t>
            </w:r>
            <w:r w:rsidRPr="003B321E">
              <w:rPr>
                <w:rFonts w:ascii="STIX" w:eastAsia="Times New Roman" w:hAnsi="STIX" w:cs="STIX MathJax Main"/>
                <w:b/>
                <w:sz w:val="18"/>
                <w:szCs w:val="18"/>
                <w:vertAlign w:val="subscript"/>
              </w:rPr>
              <w:t>2</w:t>
            </w:r>
            <w:r w:rsidRPr="003B321E">
              <w:rPr>
                <w:rFonts w:ascii="Courier New" w:eastAsia="Times New Roman" w:hAnsi="Courier New" w:cs="STIX MathJax Main"/>
                <w:b/>
                <w:sz w:val="18"/>
                <w:szCs w:val="18"/>
              </w:rPr>
              <w:t>)</w:t>
            </w:r>
          </w:p>
        </w:tc>
        <w:tc>
          <w:tcPr>
            <w:tcW w:w="728"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c</w:t>
            </w:r>
            <w:r w:rsidRPr="003B321E">
              <w:rPr>
                <w:rFonts w:ascii="STIX" w:eastAsia="Times New Roman" w:hAnsi="STIX" w:cs="STIX MathJax Main"/>
                <w:b/>
                <w:sz w:val="18"/>
                <w:szCs w:val="18"/>
                <w:vertAlign w:val="subscript"/>
              </w:rPr>
              <w:t>1</w:t>
            </w:r>
          </w:p>
        </w:tc>
        <w:tc>
          <w:tcPr>
            <w:tcW w:w="728"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g</w:t>
            </w:r>
            <w:r w:rsidRPr="003B321E">
              <w:rPr>
                <w:rFonts w:ascii="Courier New" w:eastAsia="Times New Roman" w:hAnsi="Courier New" w:cs="STIX MathJax Main"/>
                <w:b/>
                <w:sz w:val="18"/>
                <w:szCs w:val="18"/>
              </w:rPr>
              <w:t>(</w:t>
            </w:r>
            <w:r w:rsidRPr="003B321E">
              <w:rPr>
                <w:rFonts w:ascii="STIX" w:eastAsia="Times New Roman" w:hAnsi="STIX" w:cs="STIX MathJax Main"/>
                <w:b/>
                <w:i/>
                <w:sz w:val="18"/>
                <w:szCs w:val="18"/>
              </w:rPr>
              <w:t>c</w:t>
            </w:r>
            <w:r w:rsidRPr="003B321E">
              <w:rPr>
                <w:rFonts w:ascii="STIX" w:eastAsia="Times New Roman" w:hAnsi="STIX" w:cs="STIX MathJax Main"/>
                <w:b/>
                <w:sz w:val="18"/>
                <w:szCs w:val="18"/>
                <w:vertAlign w:val="subscript"/>
              </w:rPr>
              <w:t>1</w:t>
            </w:r>
            <w:r w:rsidRPr="003B321E">
              <w:rPr>
                <w:rFonts w:ascii="Courier New" w:eastAsia="Times New Roman" w:hAnsi="Courier New" w:cs="STIX MathJax Main"/>
                <w:b/>
                <w:sz w:val="18"/>
                <w:szCs w:val="18"/>
              </w:rPr>
              <w:t>)</w:t>
            </w:r>
          </w:p>
        </w:tc>
        <w:tc>
          <w:tcPr>
            <w:tcW w:w="824"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STIX" w:eastAsia="Times New Roman" w:hAnsi="STIX" w:cs="STIX MathJax Main"/>
                <w:b/>
                <w:i/>
                <w:sz w:val="18"/>
                <w:szCs w:val="18"/>
              </w:rPr>
              <w:t>c</w:t>
            </w:r>
            <w:r w:rsidRPr="003B321E">
              <w:rPr>
                <w:rFonts w:ascii="STIX" w:eastAsia="Times New Roman" w:hAnsi="STIX" w:cs="STIX MathJax Main"/>
                <w:b/>
                <w:i/>
                <w:sz w:val="18"/>
                <w:szCs w:val="18"/>
                <w:vertAlign w:val="subscript"/>
              </w:rPr>
              <w:t>u</w:t>
            </w:r>
          </w:p>
        </w:tc>
        <w:tc>
          <w:tcPr>
            <w:tcW w:w="797"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sz w:val="18"/>
                <w:szCs w:val="18"/>
              </w:rPr>
            </w:pPr>
            <w:r w:rsidRPr="003B321E">
              <w:rPr>
                <w:rFonts w:ascii="STIX" w:eastAsia="Times New Roman" w:hAnsi="STIX" w:cs="STIX MathJax Main"/>
                <w:b/>
                <w:i/>
                <w:sz w:val="18"/>
                <w:szCs w:val="18"/>
              </w:rPr>
              <w:t>g</w:t>
            </w:r>
            <w:r w:rsidRPr="003B321E">
              <w:rPr>
                <w:rFonts w:ascii="Courier New" w:eastAsia="Times New Roman" w:hAnsi="Courier New" w:cs="STIX MathJax Main"/>
                <w:b/>
                <w:sz w:val="18"/>
                <w:szCs w:val="18"/>
              </w:rPr>
              <w:t>(</w:t>
            </w:r>
            <w:r w:rsidRPr="003B321E">
              <w:rPr>
                <w:rFonts w:ascii="STIX" w:eastAsia="Times New Roman" w:hAnsi="STIX" w:cs="STIX MathJax Main"/>
                <w:b/>
                <w:i/>
                <w:sz w:val="18"/>
                <w:szCs w:val="18"/>
              </w:rPr>
              <w:t>c</w:t>
            </w:r>
            <w:r w:rsidRPr="003B321E">
              <w:rPr>
                <w:rFonts w:ascii="STIX" w:eastAsia="Times New Roman" w:hAnsi="STIX" w:cs="STIX MathJax Main"/>
                <w:b/>
                <w:i/>
                <w:sz w:val="18"/>
                <w:szCs w:val="18"/>
                <w:vertAlign w:val="subscript"/>
              </w:rPr>
              <w:t>u</w:t>
            </w:r>
            <w:r w:rsidRPr="003B321E">
              <w:rPr>
                <w:rFonts w:ascii="Courier New" w:eastAsia="Times New Roman" w:hAnsi="Courier New" w:cs="STIX MathJax Main"/>
                <w:b/>
                <w:sz w:val="18"/>
                <w:szCs w:val="18"/>
              </w:rPr>
              <w:t>)</w:t>
            </w:r>
          </w:p>
        </w:tc>
        <w:tc>
          <w:tcPr>
            <w:tcW w:w="855" w:type="dxa"/>
            <w:tcBorders>
              <w:top w:val="single" w:sz="12" w:space="0" w:color="auto"/>
              <w:left w:val="nil"/>
              <w:bottom w:val="single" w:sz="4"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STIX" w:eastAsia="Times New Roman" w:hAnsi="STIX" w:cs="STIX MathJax Main"/>
                <w:b/>
                <w:i/>
                <w:sz w:val="18"/>
                <w:szCs w:val="18"/>
              </w:rPr>
              <w:t>d</w:t>
            </w:r>
          </w:p>
        </w:tc>
        <w:tc>
          <w:tcPr>
            <w:tcW w:w="855" w:type="dxa"/>
            <w:tcBorders>
              <w:top w:val="single" w:sz="12" w:space="0" w:color="auto"/>
              <w:left w:val="nil"/>
              <w:bottom w:val="single" w:sz="4" w:space="0" w:color="auto"/>
              <w:right w:val="nil"/>
            </w:tcBorders>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STIX" w:eastAsia="Times New Roman" w:hAnsi="STIX" w:cs="STIX MathJax Main"/>
                <w:b/>
                <w:i/>
                <w:sz w:val="18"/>
                <w:szCs w:val="18"/>
              </w:rPr>
              <w:t>c</w:t>
            </w:r>
            <w:r w:rsidRPr="003B321E">
              <w:rPr>
                <w:rFonts w:ascii="STIX" w:eastAsia="Times New Roman" w:hAnsi="STIX" w:cs="STIX MathJax Main"/>
                <w:b/>
                <w:i/>
                <w:sz w:val="18"/>
                <w:szCs w:val="18"/>
                <w:vertAlign w:val="subscript"/>
              </w:rPr>
              <w:t>opt</w:t>
            </w:r>
          </w:p>
        </w:tc>
        <w:tc>
          <w:tcPr>
            <w:tcW w:w="881" w:type="dxa"/>
            <w:tcBorders>
              <w:top w:val="single" w:sz="12" w:space="0" w:color="auto"/>
              <w:left w:val="nil"/>
              <w:bottom w:val="single" w:sz="4" w:space="0" w:color="auto"/>
              <w:right w:val="nil"/>
            </w:tcBorders>
            <w:vAlign w:val="center"/>
          </w:tcPr>
          <w:p w:rsidR="003B321E" w:rsidRPr="003B321E" w:rsidRDefault="003B321E" w:rsidP="003B321E">
            <w:pPr>
              <w:spacing w:after="0" w:line="240" w:lineRule="auto"/>
              <w:jc w:val="center"/>
              <w:rPr>
                <w:rFonts w:ascii="STIX MathJax Main" w:eastAsia="Times New Roman" w:hAnsi="STIX MathJax Main" w:cs="STIX MathJax Main"/>
                <w:b/>
                <w:i/>
                <w:sz w:val="18"/>
                <w:szCs w:val="18"/>
              </w:rPr>
            </w:pPr>
            <w:r w:rsidRPr="003B321E">
              <w:rPr>
                <w:rFonts w:ascii="Courier New" w:eastAsia="Times New Roman" w:hAnsi="Courier New" w:cs="STIX MathJax Main"/>
                <w:b/>
                <w:i/>
                <w:sz w:val="18"/>
                <w:szCs w:val="18"/>
              </w:rPr>
              <w:sym w:font="Symbol" w:char="F065"/>
            </w:r>
            <w:r w:rsidRPr="003B321E">
              <w:rPr>
                <w:rFonts w:ascii="STIX" w:eastAsia="Times New Roman" w:hAnsi="STIX" w:cs="STIX MathJax Main"/>
                <w:b/>
                <w:i/>
                <w:sz w:val="18"/>
                <w:szCs w:val="18"/>
                <w:vertAlign w:val="subscript"/>
              </w:rPr>
              <w:t>a</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1</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3.8197</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0.2330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6.1803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0.1310</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10.0000</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0.0641</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6.1803</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3.8197</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100.00</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2</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0.3350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3.8197</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0.2330</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6.1803</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0.1310</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3.8197</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100.00</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3</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0.3350</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3.8197</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0.2330</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100.00</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4</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0.0000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0.9017</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0.3174</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0.3350</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61.80</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5</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0.9017</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0.3174</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1.8034</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0.3655</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2.3607</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0.3350</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0.9017</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38.20</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6</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0.9017</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0.3174</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1.2461</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0.3593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1.8034</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0.3655</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0.5573</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23.61</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7</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1.2461</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0.3593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1.8034</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0.3655</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0.3444</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13.38</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8</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1.6718</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0.3688</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1.8034</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0.3655</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0.2129</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8.27</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9</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1.4590</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1.5403</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1.6718</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0.3688</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0.1316</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5.11</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10</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1.5403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1.6216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0.3694</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1.6718</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0.3688</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0.0813</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3.16</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11</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1.5403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1.6216</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0.3694</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0.0502</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1.98</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12</w:t>
            </w:r>
          </w:p>
        </w:tc>
        <w:tc>
          <w:tcPr>
            <w:tcW w:w="801"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1.5403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1.5595</w:t>
            </w:r>
          </w:p>
        </w:tc>
        <w:tc>
          <w:tcPr>
            <w:tcW w:w="766"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728"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24"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97"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55" w:type="dxa"/>
            <w:tcBorders>
              <w:top w:val="nil"/>
              <w:left w:val="nil"/>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0.0311</w:t>
            </w:r>
          </w:p>
        </w:tc>
        <w:tc>
          <w:tcPr>
            <w:tcW w:w="855"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881" w:type="dxa"/>
            <w:tcBorders>
              <w:top w:val="nil"/>
              <w:left w:val="nil"/>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1.22</w:t>
            </w:r>
            <w:r w:rsidRPr="003B321E">
              <w:rPr>
                <w:rFonts w:ascii="Courier New" w:eastAsia="Times New Roman" w:hAnsi="Courier New" w:cs="STIX MathJax Main"/>
                <w:sz w:val="18"/>
                <w:szCs w:val="18"/>
              </w:rPr>
              <w:t>%</w:t>
            </w:r>
          </w:p>
        </w:tc>
      </w:tr>
      <w:tr w:rsidR="003B321E" w:rsidRPr="003B321E" w:rsidTr="003B321E">
        <w:trPr>
          <w:trHeight w:val="146"/>
        </w:trPr>
        <w:tc>
          <w:tcPr>
            <w:tcW w:w="396" w:type="dxa"/>
            <w:tcBorders>
              <w:top w:val="nil"/>
              <w:left w:val="nil"/>
              <w:bottom w:val="single" w:sz="12" w:space="0" w:color="auto"/>
              <w:right w:val="nil"/>
            </w:tcBorders>
            <w:noWrap/>
            <w:vAlign w:val="center"/>
          </w:tcPr>
          <w:p w:rsidR="003B321E" w:rsidRPr="003B321E" w:rsidRDefault="003B321E" w:rsidP="003B321E">
            <w:pPr>
              <w:spacing w:after="0" w:line="240" w:lineRule="auto"/>
              <w:jc w:val="center"/>
              <w:rPr>
                <w:rFonts w:ascii="STIX MathJax Main" w:eastAsia="Times New Roman" w:hAnsi="STIX MathJax Main" w:cs="STIX MathJax Main"/>
                <w:sz w:val="18"/>
                <w:szCs w:val="18"/>
              </w:rPr>
            </w:pPr>
            <w:r w:rsidRPr="003B321E">
              <w:rPr>
                <w:rFonts w:ascii="STIX" w:eastAsia="Times New Roman" w:hAnsi="STIX" w:cs="STIX MathJax Main"/>
                <w:sz w:val="18"/>
                <w:szCs w:val="18"/>
              </w:rPr>
              <w:t>13</w:t>
            </w:r>
          </w:p>
        </w:tc>
        <w:tc>
          <w:tcPr>
            <w:tcW w:w="801"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1.5595</w:t>
            </w:r>
          </w:p>
        </w:tc>
        <w:tc>
          <w:tcPr>
            <w:tcW w:w="728"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766"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728"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1.5787</w:t>
            </w:r>
          </w:p>
        </w:tc>
        <w:tc>
          <w:tcPr>
            <w:tcW w:w="728"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24"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1.5905</w:t>
            </w:r>
          </w:p>
        </w:tc>
        <w:tc>
          <w:tcPr>
            <w:tcW w:w="797"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0.3696</w:t>
            </w:r>
          </w:p>
        </w:tc>
        <w:tc>
          <w:tcPr>
            <w:tcW w:w="855" w:type="dxa"/>
            <w:tcBorders>
              <w:top w:val="nil"/>
              <w:left w:val="nil"/>
              <w:bottom w:val="single" w:sz="12" w:space="0" w:color="auto"/>
              <w:right w:val="nil"/>
            </w:tcBorders>
            <w:noWrap/>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0.0192</w:t>
            </w:r>
          </w:p>
        </w:tc>
        <w:tc>
          <w:tcPr>
            <w:tcW w:w="855" w:type="dxa"/>
            <w:tcBorders>
              <w:top w:val="nil"/>
              <w:left w:val="nil"/>
              <w:bottom w:val="single" w:sz="12" w:space="0" w:color="auto"/>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1.5713</w:t>
            </w:r>
          </w:p>
        </w:tc>
        <w:tc>
          <w:tcPr>
            <w:tcW w:w="881" w:type="dxa"/>
            <w:tcBorders>
              <w:top w:val="nil"/>
              <w:left w:val="nil"/>
              <w:bottom w:val="single" w:sz="12" w:space="0" w:color="auto"/>
              <w:right w:val="nil"/>
            </w:tcBorders>
            <w:vAlign w:val="center"/>
          </w:tcPr>
          <w:p w:rsidR="003B321E" w:rsidRPr="003B321E" w:rsidRDefault="003B321E" w:rsidP="003B321E">
            <w:pPr>
              <w:spacing w:after="0" w:line="240" w:lineRule="auto"/>
              <w:jc w:val="right"/>
              <w:rPr>
                <w:rFonts w:ascii="STIX MathJax Main" w:eastAsia="Times New Roman" w:hAnsi="STIX MathJax Main" w:cs="STIX MathJax Main"/>
                <w:sz w:val="18"/>
                <w:szCs w:val="18"/>
              </w:rPr>
            </w:pPr>
            <w:r w:rsidRPr="003B321E">
              <w:rPr>
                <w:rFonts w:ascii="STIX" w:eastAsia="Times New Roman" w:hAnsi="STIX" w:cs="STIX MathJax Main"/>
                <w:sz w:val="18"/>
                <w:szCs w:val="18"/>
              </w:rPr>
              <w:t>0.75</w:t>
            </w:r>
            <w:r w:rsidRPr="003B321E">
              <w:rPr>
                <w:rFonts w:ascii="Courier New" w:eastAsia="Times New Roman" w:hAnsi="Courier New" w:cs="STIX MathJax Main"/>
                <w:sz w:val="18"/>
                <w:szCs w:val="18"/>
              </w:rPr>
              <w:t>%</w:t>
            </w:r>
          </w:p>
        </w:tc>
      </w:tr>
    </w:tbl>
    <w:p w:rsidR="003B321E" w:rsidRPr="003B321E" w:rsidRDefault="003B321E" w:rsidP="003B321E">
      <w:pPr>
        <w:spacing w:after="0" w:line="240" w:lineRule="auto"/>
        <w:rPr>
          <w:rFonts w:ascii="STIX" w:eastAsia="Times New Roman" w:hAnsi="STIX"/>
          <w:sz w:val="20"/>
          <w:szCs w:val="24"/>
        </w:rPr>
      </w:pPr>
    </w:p>
    <w:p w:rsidR="003B321E" w:rsidRPr="003B321E" w:rsidRDefault="003B321E" w:rsidP="003B321E">
      <w:pPr>
        <w:spacing w:after="0" w:line="240" w:lineRule="auto"/>
        <w:rPr>
          <w:rFonts w:ascii="STIX" w:eastAsia="Times New Roman" w:hAnsi="STIX"/>
          <w:sz w:val="20"/>
          <w:szCs w:val="24"/>
        </w:rPr>
      </w:pPr>
      <w:r w:rsidRPr="003B321E">
        <w:rPr>
          <w:rFonts w:ascii="STIX" w:eastAsia="Times New Roman" w:hAnsi="STIX"/>
          <w:sz w:val="20"/>
          <w:szCs w:val="24"/>
        </w:rPr>
        <w:t xml:space="preserve">Thus, after 13 iterations, the method is converging on the true value of </w:t>
      </w:r>
      <w:r w:rsidRPr="003B321E">
        <w:rPr>
          <w:rFonts w:ascii="STIX" w:eastAsia="Times New Roman" w:hAnsi="STIX"/>
          <w:i/>
          <w:sz w:val="20"/>
          <w:szCs w:val="24"/>
        </w:rPr>
        <w:t>c</w:t>
      </w:r>
      <w:r w:rsidRPr="003B321E">
        <w:rPr>
          <w:rFonts w:ascii="STIX" w:eastAsia="Times New Roman" w:hAnsi="STIX"/>
          <w:sz w:val="20"/>
          <w:szCs w:val="24"/>
        </w:rPr>
        <w:t xml:space="preserve"> </w:t>
      </w:r>
      <w:r w:rsidRPr="003B321E">
        <w:rPr>
          <w:rFonts w:ascii="Courier New" w:eastAsia="Times New Roman" w:hAnsi="Courier New"/>
          <w:sz w:val="20"/>
          <w:szCs w:val="24"/>
        </w:rPr>
        <w:t>=</w:t>
      </w:r>
      <w:r w:rsidRPr="003B321E">
        <w:rPr>
          <w:rFonts w:ascii="STIX" w:eastAsia="Times New Roman" w:hAnsi="STIX"/>
          <w:sz w:val="20"/>
          <w:szCs w:val="24"/>
        </w:rPr>
        <w:t xml:space="preserve"> 1.5679 which corresponds to a maximum specific growth rate of </w:t>
      </w:r>
      <w:r w:rsidRPr="003B321E">
        <w:rPr>
          <w:rFonts w:ascii="STIX" w:eastAsia="Times New Roman" w:hAnsi="STIX"/>
          <w:i/>
          <w:sz w:val="20"/>
          <w:szCs w:val="24"/>
        </w:rPr>
        <w:t>g</w:t>
      </w:r>
      <w:r w:rsidRPr="003B321E">
        <w:rPr>
          <w:rFonts w:ascii="STIX" w:eastAsia="Times New Roman" w:hAnsi="STIX"/>
          <w:sz w:val="20"/>
          <w:szCs w:val="24"/>
        </w:rPr>
        <w:t xml:space="preserve"> </w:t>
      </w:r>
      <w:r w:rsidRPr="003B321E">
        <w:rPr>
          <w:rFonts w:ascii="Courier New" w:eastAsia="Times New Roman" w:hAnsi="Courier New"/>
          <w:sz w:val="20"/>
          <w:szCs w:val="24"/>
        </w:rPr>
        <w:t>=</w:t>
      </w:r>
      <w:r w:rsidRPr="003B321E">
        <w:rPr>
          <w:rFonts w:ascii="STIX" w:eastAsia="Times New Roman" w:hAnsi="STIX"/>
          <w:sz w:val="20"/>
          <w:szCs w:val="24"/>
        </w:rPr>
        <w:t xml:space="preserve"> 0.36963.</w:t>
      </w:r>
    </w:p>
    <w:p w:rsidR="003B321E" w:rsidRPr="003B321E" w:rsidRDefault="003B321E" w:rsidP="003B321E">
      <w:pPr>
        <w:spacing w:after="0" w:line="240" w:lineRule="auto"/>
        <w:rPr>
          <w:rFonts w:ascii="STIX" w:eastAsia="Times New Roman" w:hAnsi="STIX"/>
          <w:sz w:val="20"/>
          <w:szCs w:val="24"/>
        </w:rPr>
      </w:pPr>
    </w:p>
    <w:p w:rsidR="00033725" w:rsidRPr="00033725" w:rsidRDefault="00033725" w:rsidP="003B321E">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470FC-C4F3-49DB-B8FF-A8E25F79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2017-03-30T15:28:00Z</dcterms:created>
  <dcterms:modified xsi:type="dcterms:W3CDTF">2017-03-30T15:28:00Z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