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A36F7" w:rsidRDefault="00512B6C" w:rsidP="00EA36F7">
      <w:pPr>
        <w:pStyle w:val="Default"/>
        <w:rPr>
          <w:b/>
        </w:rPr>
      </w:pPr>
      <w:r w:rsidRPr="00EA36F7">
        <w:rPr>
          <w:b/>
        </w:rPr>
        <w:t xml:space="preserve">Problem </w:t>
      </w:r>
      <w:r w:rsidR="00EA36F7" w:rsidRPr="00EA36F7">
        <w:rPr>
          <w:b/>
        </w:rPr>
        <w:t>10.7</w:t>
      </w:r>
    </w:p>
    <w:p w:rsidR="00EA36F7" w:rsidRPr="00EA36F7" w:rsidRDefault="00EA36F7" w:rsidP="00EA36F7">
      <w:pPr>
        <w:autoSpaceDE w:val="0"/>
        <w:autoSpaceDN w:val="0"/>
        <w:adjustRightInd w:val="0"/>
        <w:spacing w:after="0" w:line="240" w:lineRule="auto"/>
        <w:rPr>
          <w:rFonts w:ascii="STIX" w:hAnsi="STIX" w:cs="STIX"/>
          <w:color w:val="000000"/>
          <w:sz w:val="24"/>
          <w:szCs w:val="24"/>
        </w:rPr>
      </w:pPr>
    </w:p>
    <w:p w:rsidR="007A4C51" w:rsidRDefault="00EA36F7" w:rsidP="00EA36F7">
      <w:pPr>
        <w:autoSpaceDE w:val="0"/>
        <w:autoSpaceDN w:val="0"/>
        <w:adjustRightInd w:val="0"/>
        <w:spacing w:after="0" w:line="240" w:lineRule="auto"/>
        <w:rPr>
          <w:rFonts w:ascii="STIX" w:hAnsi="STIX" w:cs="STIX"/>
          <w:color w:val="211D1E"/>
          <w:sz w:val="24"/>
          <w:szCs w:val="18"/>
        </w:rPr>
      </w:pPr>
      <w:r w:rsidRPr="00EA36F7">
        <w:rPr>
          <w:rFonts w:ascii="STIX" w:hAnsi="STIX" w:cs="STIX"/>
          <w:color w:val="211D1E"/>
          <w:sz w:val="24"/>
          <w:szCs w:val="18"/>
        </w:rPr>
        <w:t>Confirm the validity of the Cholesky factorization of Example 10.5 by substituting the results into Eq.</w:t>
      </w:r>
      <w:r>
        <w:rPr>
          <w:rFonts w:ascii="STIX" w:hAnsi="STIX" w:cs="STIX"/>
          <w:color w:val="211D1E"/>
          <w:sz w:val="24"/>
          <w:szCs w:val="18"/>
        </w:rPr>
        <w:t> </w:t>
      </w:r>
      <w:r w:rsidRPr="00EA36F7">
        <w:rPr>
          <w:rFonts w:ascii="STIX" w:hAnsi="STIX" w:cs="STIX"/>
          <w:color w:val="211D1E"/>
          <w:sz w:val="24"/>
          <w:szCs w:val="18"/>
        </w:rPr>
        <w:t>(10.14) to verify that the product of [</w:t>
      </w:r>
      <w:r w:rsidRPr="00EA36F7">
        <w:rPr>
          <w:rFonts w:ascii="STIX" w:hAnsi="STIX" w:cs="STIX"/>
          <w:i/>
          <w:iCs/>
          <w:color w:val="211D1E"/>
          <w:sz w:val="24"/>
          <w:szCs w:val="18"/>
        </w:rPr>
        <w:t>U</w:t>
      </w:r>
      <w:r w:rsidRPr="00EA36F7">
        <w:rPr>
          <w:rFonts w:ascii="STIX" w:hAnsi="STIX" w:cs="STIX"/>
          <w:color w:val="211D1E"/>
          <w:sz w:val="24"/>
          <w:szCs w:val="18"/>
        </w:rPr>
        <w:t>]</w:t>
      </w:r>
      <w:r w:rsidRPr="00EA36F7">
        <w:rPr>
          <w:rFonts w:ascii="STIX" w:hAnsi="STIX" w:cs="STIX"/>
          <w:i/>
          <w:iCs/>
          <w:color w:val="211D1E"/>
          <w:sz w:val="32"/>
          <w:vertAlign w:val="superscript"/>
        </w:rPr>
        <w:t>T</w:t>
      </w:r>
      <w:r w:rsidRPr="00EA36F7">
        <w:rPr>
          <w:rFonts w:ascii="STIX" w:hAnsi="STIX" w:cs="STIX"/>
          <w:i/>
          <w:iCs/>
          <w:color w:val="211D1E"/>
          <w:sz w:val="24"/>
        </w:rPr>
        <w:t xml:space="preserve"> </w:t>
      </w:r>
      <w:r w:rsidRPr="00EA36F7">
        <w:rPr>
          <w:rFonts w:ascii="STIX" w:hAnsi="STIX" w:cs="STIX"/>
          <w:color w:val="211D1E"/>
          <w:sz w:val="24"/>
          <w:szCs w:val="18"/>
        </w:rPr>
        <w:t>and [</w:t>
      </w:r>
      <w:r w:rsidRPr="00EA36F7">
        <w:rPr>
          <w:rFonts w:ascii="STIX" w:hAnsi="STIX" w:cs="STIX"/>
          <w:i/>
          <w:iCs/>
          <w:color w:val="211D1E"/>
          <w:sz w:val="24"/>
          <w:szCs w:val="18"/>
        </w:rPr>
        <w:t>U</w:t>
      </w:r>
      <w:r w:rsidRPr="00EA36F7">
        <w:rPr>
          <w:rFonts w:ascii="STIX" w:hAnsi="STIX" w:cs="STIX"/>
          <w:color w:val="211D1E"/>
          <w:sz w:val="24"/>
          <w:szCs w:val="18"/>
        </w:rPr>
        <w:t>] yields [</w:t>
      </w:r>
      <w:r w:rsidRPr="00EA36F7">
        <w:rPr>
          <w:rFonts w:ascii="STIX" w:hAnsi="STIX" w:cs="STIX"/>
          <w:i/>
          <w:iCs/>
          <w:color w:val="211D1E"/>
          <w:sz w:val="24"/>
          <w:szCs w:val="18"/>
        </w:rPr>
        <w:t>A</w:t>
      </w:r>
      <w:r w:rsidRPr="00EA36F7">
        <w:rPr>
          <w:rFonts w:ascii="STIX" w:hAnsi="STIX" w:cs="STIX"/>
          <w:color w:val="211D1E"/>
          <w:sz w:val="24"/>
          <w:szCs w:val="18"/>
        </w:rPr>
        <w:t>].</w:t>
      </w:r>
    </w:p>
    <w:p w:rsidR="00EA36F7" w:rsidRDefault="00EA36F7" w:rsidP="00EA36F7">
      <w:pPr>
        <w:autoSpaceDE w:val="0"/>
        <w:autoSpaceDN w:val="0"/>
        <w:adjustRightInd w:val="0"/>
        <w:spacing w:after="0" w:line="240" w:lineRule="auto"/>
        <w:rPr>
          <w:rFonts w:ascii="STIX" w:hAnsi="STIX" w:cs="STIX"/>
          <w:color w:val="211D1E"/>
          <w:sz w:val="24"/>
          <w:szCs w:val="18"/>
        </w:rPr>
      </w:pPr>
    </w:p>
    <w:p w:rsidR="00EA36F7" w:rsidRDefault="00EA36F7" w:rsidP="00EA36F7">
      <w:pPr>
        <w:autoSpaceDE w:val="0"/>
        <w:autoSpaceDN w:val="0"/>
        <w:adjustRightInd w:val="0"/>
        <w:spacing w:after="0" w:line="240" w:lineRule="auto"/>
        <w:rPr>
          <w:rFonts w:ascii="STIX" w:hAnsi="STIX" w:cs="STIX"/>
          <w:color w:val="211D1E"/>
          <w:sz w:val="24"/>
          <w:szCs w:val="18"/>
        </w:rPr>
      </w:pPr>
      <w:r>
        <w:rPr>
          <w:rFonts w:ascii="STIX" w:hAnsi="STIX" w:cs="STIX"/>
          <w:color w:val="211D1E"/>
          <w:sz w:val="24"/>
          <w:szCs w:val="18"/>
        </w:rPr>
        <w:t>Eq. 10.14:</w:t>
      </w:r>
    </w:p>
    <w:p w:rsidR="00EA36F7" w:rsidRPr="00EA36F7" w:rsidRDefault="00EA36F7" w:rsidP="00EA36F7">
      <w:pPr>
        <w:autoSpaceDE w:val="0"/>
        <w:autoSpaceDN w:val="0"/>
        <w:adjustRightInd w:val="0"/>
        <w:spacing w:after="0" w:line="240" w:lineRule="auto"/>
        <w:rPr>
          <w:rFonts w:ascii="STIX" w:hAnsi="STIX" w:cs="STIX"/>
          <w:color w:val="000000"/>
          <w:sz w:val="24"/>
          <w:szCs w:val="24"/>
        </w:rPr>
      </w:pPr>
    </w:p>
    <w:p w:rsidR="00EA36F7" w:rsidRDefault="00EA36F7" w:rsidP="00EA36F7">
      <w:pPr>
        <w:autoSpaceDE w:val="0"/>
        <w:autoSpaceDN w:val="0"/>
        <w:adjustRightInd w:val="0"/>
        <w:spacing w:after="0" w:line="240" w:lineRule="auto"/>
        <w:rPr>
          <w:rFonts w:ascii="STIX" w:hAnsi="STIX" w:cs="STIX"/>
          <w:color w:val="211D1E"/>
          <w:sz w:val="24"/>
          <w:szCs w:val="24"/>
        </w:rPr>
      </w:pPr>
      <w:r>
        <w:rPr>
          <w:rFonts w:ascii="STIX" w:hAnsi="STIX" w:cs="STIX"/>
          <w:color w:val="211D1E"/>
          <w:sz w:val="24"/>
          <w:szCs w:val="24"/>
        </w:rPr>
        <w:t xml:space="preserve">                      </w:t>
      </w:r>
      <w:r w:rsidRPr="00EA36F7">
        <w:rPr>
          <w:rFonts w:ascii="STIX" w:hAnsi="STIX" w:cs="STIX"/>
          <w:color w:val="211D1E"/>
          <w:sz w:val="24"/>
          <w:szCs w:val="24"/>
        </w:rPr>
        <w:t>[</w:t>
      </w:r>
      <w:r w:rsidRPr="00EA36F7">
        <w:rPr>
          <w:rFonts w:ascii="STIX" w:hAnsi="STIX" w:cs="STIX"/>
          <w:i/>
          <w:iCs/>
          <w:color w:val="211D1E"/>
          <w:sz w:val="24"/>
          <w:szCs w:val="24"/>
        </w:rPr>
        <w:t>A</w:t>
      </w:r>
      <w:r w:rsidRPr="00EA36F7">
        <w:rPr>
          <w:rFonts w:ascii="STIX" w:hAnsi="STIX" w:cs="STIX"/>
          <w:color w:val="211D1E"/>
          <w:sz w:val="24"/>
          <w:szCs w:val="24"/>
        </w:rPr>
        <w:t>] = [</w:t>
      </w:r>
      <w:r w:rsidRPr="00EA36F7">
        <w:rPr>
          <w:rFonts w:ascii="STIX" w:hAnsi="STIX" w:cs="STIX"/>
          <w:i/>
          <w:iCs/>
          <w:color w:val="211D1E"/>
          <w:sz w:val="24"/>
          <w:szCs w:val="24"/>
        </w:rPr>
        <w:t xml:space="preserve">U </w:t>
      </w:r>
      <w:r w:rsidRPr="00EA36F7">
        <w:rPr>
          <w:rFonts w:ascii="STIX" w:hAnsi="STIX" w:cs="STIX"/>
          <w:color w:val="211D1E"/>
          <w:sz w:val="24"/>
          <w:szCs w:val="24"/>
        </w:rPr>
        <w:t>]</w:t>
      </w:r>
      <w:r w:rsidRPr="00EA36F7">
        <w:rPr>
          <w:rFonts w:ascii="STIX" w:hAnsi="STIX" w:cs="STIX"/>
          <w:i/>
          <w:iCs/>
          <w:color w:val="211D1E"/>
          <w:sz w:val="32"/>
          <w:szCs w:val="24"/>
          <w:vertAlign w:val="superscript"/>
        </w:rPr>
        <w:t>T</w:t>
      </w:r>
      <w:r w:rsidRPr="00EA36F7">
        <w:rPr>
          <w:rFonts w:ascii="STIX" w:hAnsi="STIX" w:cs="STIX"/>
          <w:i/>
          <w:iCs/>
          <w:color w:val="211D1E"/>
          <w:sz w:val="24"/>
          <w:szCs w:val="24"/>
        </w:rPr>
        <w:t xml:space="preserve"> </w:t>
      </w:r>
      <w:r w:rsidRPr="00EA36F7">
        <w:rPr>
          <w:rFonts w:ascii="STIX" w:hAnsi="STIX" w:cs="STIX"/>
          <w:color w:val="211D1E"/>
          <w:sz w:val="24"/>
          <w:szCs w:val="24"/>
        </w:rPr>
        <w:t>[</w:t>
      </w:r>
      <w:r w:rsidRPr="00EA36F7">
        <w:rPr>
          <w:rFonts w:ascii="STIX" w:hAnsi="STIX" w:cs="STIX"/>
          <w:i/>
          <w:iCs/>
          <w:color w:val="211D1E"/>
          <w:sz w:val="24"/>
          <w:szCs w:val="24"/>
        </w:rPr>
        <w:t>U</w:t>
      </w:r>
      <w:r w:rsidRPr="00EA36F7">
        <w:rPr>
          <w:rFonts w:ascii="STIX" w:hAnsi="STIX" w:cs="STIX"/>
          <w:color w:val="211D1E"/>
          <w:sz w:val="24"/>
          <w:szCs w:val="24"/>
        </w:rPr>
        <w:t xml:space="preserve">] </w:t>
      </w:r>
    </w:p>
    <w:p w:rsidR="00EA36F7" w:rsidRDefault="00EA36F7" w:rsidP="00EA36F7">
      <w:pPr>
        <w:autoSpaceDE w:val="0"/>
        <w:autoSpaceDN w:val="0"/>
        <w:adjustRightInd w:val="0"/>
        <w:spacing w:after="0" w:line="240" w:lineRule="auto"/>
        <w:rPr>
          <w:rFonts w:ascii="STIX" w:hAnsi="STIX" w:cs="STIX"/>
          <w:color w:val="211D1E"/>
          <w:sz w:val="24"/>
          <w:szCs w:val="24"/>
        </w:rPr>
      </w:pPr>
    </w:p>
    <w:p w:rsidR="00EA36F7" w:rsidRPr="00EA36F7" w:rsidRDefault="00EA36F7" w:rsidP="00EA36F7">
      <w:pPr>
        <w:autoSpaceDE w:val="0"/>
        <w:autoSpaceDN w:val="0"/>
        <w:adjustRightInd w:val="0"/>
        <w:spacing w:after="0" w:line="240" w:lineRule="auto"/>
        <w:rPr>
          <w:rFonts w:ascii="STIX" w:hAnsi="STIX" w:cs="STIX"/>
          <w:i/>
          <w:color w:val="211D1E"/>
          <w:sz w:val="24"/>
          <w:szCs w:val="24"/>
        </w:rPr>
      </w:pPr>
      <w:r w:rsidRPr="00EA36F7">
        <w:rPr>
          <w:rFonts w:ascii="STIX" w:hAnsi="STIX" w:cs="STIX"/>
          <w:i/>
          <w:color w:val="211D1E"/>
          <w:sz w:val="24"/>
          <w:szCs w:val="24"/>
        </w:rPr>
        <w:t>Problem Statement from Example 10.5:</w:t>
      </w:r>
    </w:p>
    <w:p w:rsidR="00EA36F7" w:rsidRDefault="00EA36F7" w:rsidP="00EA36F7">
      <w:pPr>
        <w:autoSpaceDE w:val="0"/>
        <w:autoSpaceDN w:val="0"/>
        <w:adjustRightInd w:val="0"/>
        <w:spacing w:after="0" w:line="240" w:lineRule="auto"/>
        <w:rPr>
          <w:rFonts w:ascii="STIX" w:hAnsi="STIX" w:cs="STIX"/>
          <w:color w:val="211D1E"/>
          <w:sz w:val="24"/>
          <w:szCs w:val="24"/>
        </w:rPr>
      </w:pPr>
    </w:p>
    <w:p w:rsidR="00EA36F7" w:rsidRPr="00EA36F7" w:rsidRDefault="00EA36F7" w:rsidP="00EA36F7">
      <w:pPr>
        <w:autoSpaceDE w:val="0"/>
        <w:autoSpaceDN w:val="0"/>
        <w:adjustRightInd w:val="0"/>
        <w:spacing w:after="0" w:line="240" w:lineRule="auto"/>
        <w:rPr>
          <w:rFonts w:ascii="Proxima Nova Rg" w:hAnsi="Proxima Nova Rg" w:cs="Proxima Nova Rg"/>
          <w:color w:val="000000"/>
          <w:sz w:val="24"/>
          <w:szCs w:val="24"/>
        </w:rPr>
      </w:pPr>
    </w:p>
    <w:p w:rsidR="00EA36F7" w:rsidRDefault="00EA36F7" w:rsidP="00EA36F7">
      <w:pPr>
        <w:autoSpaceDE w:val="0"/>
        <w:autoSpaceDN w:val="0"/>
        <w:adjustRightInd w:val="0"/>
        <w:spacing w:after="0" w:line="240" w:lineRule="auto"/>
        <w:rPr>
          <w:rFonts w:ascii="STIX" w:hAnsi="STIX" w:cs="STIX"/>
          <w:color w:val="211D1E"/>
          <w:sz w:val="24"/>
          <w:szCs w:val="24"/>
        </w:rPr>
      </w:pPr>
      <w:r w:rsidRPr="00EA36F7">
        <w:rPr>
          <w:rFonts w:ascii="STIX" w:hAnsi="STIX" w:cs="STIX"/>
          <w:color w:val="211D1E"/>
          <w:sz w:val="24"/>
          <w:szCs w:val="24"/>
        </w:rPr>
        <w:t>Compute the Cholesky factorization for the symmetric matrix</w:t>
      </w:r>
    </w:p>
    <w:p w:rsidR="00EA36F7" w:rsidRPr="00EA36F7" w:rsidRDefault="00EA36F7" w:rsidP="00EA36F7">
      <w:pPr>
        <w:autoSpaceDE w:val="0"/>
        <w:autoSpaceDN w:val="0"/>
        <w:adjustRightInd w:val="0"/>
        <w:spacing w:after="0" w:line="240" w:lineRule="auto"/>
        <w:rPr>
          <w:rFonts w:ascii="STIX" w:hAnsi="STIX" w:cs="STIX"/>
          <w:color w:val="211D1E"/>
          <w:sz w:val="24"/>
          <w:szCs w:val="24"/>
        </w:rPr>
      </w:pPr>
      <w:r w:rsidRPr="00EA36F7">
        <w:rPr>
          <w:rFonts w:ascii="STIX" w:hAnsi="STIX" w:cs="STIX"/>
          <w:color w:val="211D1E"/>
          <w:position w:val="-56"/>
          <w:sz w:val="24"/>
          <w:szCs w:val="24"/>
        </w:rPr>
        <w:object w:dxaOrig="232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44" type="#_x0000_t75" style="width:116.25pt;height:62.25pt" o:ole="">
            <v:imagedata r:id="rId7" o:title=""/>
          </v:shape>
          <o:OLEObject Type="Embed" ProgID="Equation.DSMT4" ShapeID="_x0000_i2344" DrawAspect="Content" ObjectID="_1551187614" r:id="rId8"/>
        </w:object>
      </w:r>
      <w:r>
        <w:rPr>
          <w:rFonts w:ascii="STIX" w:hAnsi="STIX" w:cs="STIX"/>
          <w:color w:val="211D1E"/>
          <w:sz w:val="24"/>
          <w:szCs w:val="24"/>
        </w:rPr>
        <w:t xml:space="preserve"> </w:t>
      </w:r>
    </w:p>
    <w:sectPr w:rsidR="00EA36F7" w:rsidRPr="00EA36F7"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54</Words>
  <Characters>308</Characters>
  <Application>Microsoft Office Word</Application>
  <DocSecurity>0</DocSecurity>
  <Lines>2</Lines>
  <Paragraphs>1</Paragraphs>
  <ScaleCrop>false</ScaleCrop>
  <Company/>
  <LinksUpToDate>false</LinksUpToDate>
  <CharactersWithSpaces>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2017-03-16T22:14:00Z</dcterms:created>
  <dcterms:modified xsi:type="dcterms:W3CDTF">2017-03-16T22:14:00Z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