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25AE0" w:rsidRDefault="00512B6C" w:rsidP="00A25AE0">
      <w:pPr>
        <w:pStyle w:val="Default"/>
        <w:rPr>
          <w:b/>
        </w:rPr>
      </w:pPr>
      <w:r w:rsidRPr="00A25AE0">
        <w:rPr>
          <w:b/>
        </w:rPr>
        <w:t xml:space="preserve">Problem </w:t>
      </w:r>
      <w:r w:rsidR="009E6D8B" w:rsidRPr="00A25AE0">
        <w:rPr>
          <w:b/>
        </w:rPr>
        <w:t>1</w:t>
      </w:r>
      <w:r w:rsidR="00A25AE0">
        <w:rPr>
          <w:b/>
        </w:rPr>
        <w:t>1.9</w:t>
      </w:r>
    </w:p>
    <w:p w:rsidR="00A25AE0" w:rsidRPr="00A25AE0" w:rsidRDefault="00A25AE0" w:rsidP="00A25AE0">
      <w:pPr>
        <w:pStyle w:val="Default"/>
      </w:pPr>
    </w:p>
    <w:p w:rsidR="00690AB4" w:rsidRDefault="00A25AE0" w:rsidP="00A25AE0">
      <w:pPr>
        <w:pStyle w:val="Default"/>
        <w:rPr>
          <w:color w:val="211D1E"/>
          <w:szCs w:val="18"/>
        </w:rPr>
      </w:pPr>
      <w:r w:rsidRPr="00A25AE0">
        <w:rPr>
          <w:color w:val="211D1E"/>
          <w:szCs w:val="18"/>
        </w:rPr>
        <w:t xml:space="preserve">Besides the Hilbert matrix, there are other matrices that are inherently ill-conditioned. One such case is the </w:t>
      </w:r>
      <w:r w:rsidRPr="00A25AE0">
        <w:rPr>
          <w:i/>
          <w:iCs/>
          <w:color w:val="211D1E"/>
          <w:szCs w:val="18"/>
        </w:rPr>
        <w:t xml:space="preserve">Vandermonde matrix, </w:t>
      </w:r>
      <w:r w:rsidRPr="00A25AE0">
        <w:rPr>
          <w:color w:val="211D1E"/>
          <w:szCs w:val="18"/>
        </w:rPr>
        <w:t xml:space="preserve">which has the following form: </w:t>
      </w:r>
    </w:p>
    <w:p w:rsidR="00A25AE0" w:rsidRDefault="00A25AE0" w:rsidP="00A25AE0">
      <w:pPr>
        <w:pStyle w:val="Default"/>
        <w:rPr>
          <w:color w:val="211D1E"/>
          <w:szCs w:val="18"/>
        </w:rPr>
      </w:pPr>
    </w:p>
    <w:p w:rsidR="00A25AE0" w:rsidRDefault="00A25AE0" w:rsidP="00A25AE0">
      <w:pPr>
        <w:pStyle w:val="Default"/>
        <w:jc w:val="center"/>
        <w:rPr>
          <w:color w:val="211D1E"/>
          <w:szCs w:val="18"/>
        </w:rPr>
      </w:pPr>
      <w:r w:rsidRPr="00A25AE0">
        <w:rPr>
          <w:color w:val="211D1E"/>
          <w:position w:val="-58"/>
          <w:szCs w:val="18"/>
        </w:rPr>
        <w:object w:dxaOrig="1320" w:dyaOrig="1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89" type="#_x0000_t75" style="width:66pt;height:63.75pt" o:ole="">
            <v:imagedata r:id="rId7" o:title=""/>
          </v:shape>
          <o:OLEObject Type="Embed" ProgID="Equation.DSMT4" ShapeID="_x0000_i2389" DrawAspect="Content" ObjectID="_1551250365" r:id="rId8"/>
        </w:object>
      </w:r>
      <w:r>
        <w:rPr>
          <w:color w:val="211D1E"/>
          <w:szCs w:val="18"/>
        </w:rPr>
        <w:t xml:space="preserve"> </w:t>
      </w:r>
    </w:p>
    <w:p w:rsidR="00A25AE0" w:rsidRDefault="00A25AE0" w:rsidP="00A25AE0">
      <w:pPr>
        <w:pStyle w:val="Default"/>
        <w:jc w:val="center"/>
        <w:rPr>
          <w:color w:val="211D1E"/>
          <w:szCs w:val="18"/>
        </w:rPr>
      </w:pPr>
    </w:p>
    <w:p w:rsidR="00A25AE0" w:rsidRPr="00A25AE0" w:rsidRDefault="00A25AE0" w:rsidP="00A25AE0">
      <w:pPr>
        <w:pStyle w:val="Default"/>
        <w:rPr>
          <w:color w:val="auto"/>
        </w:rPr>
      </w:pPr>
    </w:p>
    <w:p w:rsidR="00A25AE0" w:rsidRPr="00A25AE0" w:rsidRDefault="00A25AE0" w:rsidP="00A25AE0">
      <w:pPr>
        <w:pStyle w:val="Default"/>
        <w:rPr>
          <w:color w:val="211D1E"/>
        </w:rPr>
      </w:pPr>
      <w:r w:rsidRPr="00A25AE0">
        <w:rPr>
          <w:rStyle w:val="A185"/>
          <w:sz w:val="24"/>
          <w:szCs w:val="24"/>
        </w:rPr>
        <w:t xml:space="preserve">(a) </w:t>
      </w:r>
      <w:r w:rsidRPr="00A25AE0">
        <w:rPr>
          <w:color w:val="211D1E"/>
        </w:rPr>
        <w:t xml:space="preserve">Determine the condition number based on the row-sum norm for the case where </w:t>
      </w:r>
      <w:r w:rsidRPr="00A25AE0">
        <w:rPr>
          <w:i/>
          <w:iCs/>
          <w:color w:val="211D1E"/>
        </w:rPr>
        <w:t>x</w:t>
      </w:r>
      <w:r w:rsidRPr="00A25AE0">
        <w:rPr>
          <w:rStyle w:val="A183"/>
          <w:sz w:val="32"/>
          <w:szCs w:val="24"/>
          <w:vertAlign w:val="subscript"/>
        </w:rPr>
        <w:t>1</w:t>
      </w:r>
      <w:r w:rsidRPr="00A25AE0">
        <w:rPr>
          <w:rStyle w:val="A183"/>
          <w:sz w:val="24"/>
          <w:szCs w:val="24"/>
        </w:rPr>
        <w:t xml:space="preserve"> </w:t>
      </w:r>
      <w:r w:rsidRPr="00A25AE0">
        <w:rPr>
          <w:color w:val="211D1E"/>
        </w:rPr>
        <w:t xml:space="preserve">= 4, </w:t>
      </w:r>
      <w:r w:rsidRPr="00A25AE0">
        <w:rPr>
          <w:i/>
          <w:iCs/>
          <w:color w:val="211D1E"/>
        </w:rPr>
        <w:t>x</w:t>
      </w:r>
      <w:r w:rsidRPr="00A25AE0">
        <w:rPr>
          <w:rStyle w:val="A183"/>
          <w:sz w:val="32"/>
          <w:szCs w:val="24"/>
          <w:vertAlign w:val="subscript"/>
        </w:rPr>
        <w:t>2</w:t>
      </w:r>
      <w:r w:rsidRPr="00A25AE0">
        <w:rPr>
          <w:rStyle w:val="A183"/>
          <w:sz w:val="24"/>
          <w:szCs w:val="24"/>
        </w:rPr>
        <w:t xml:space="preserve"> </w:t>
      </w:r>
      <w:r w:rsidRPr="00A25AE0">
        <w:rPr>
          <w:color w:val="211D1E"/>
        </w:rPr>
        <w:t xml:space="preserve">= 2, and </w:t>
      </w:r>
      <w:r w:rsidRPr="00A25AE0">
        <w:rPr>
          <w:i/>
          <w:iCs/>
          <w:color w:val="211D1E"/>
        </w:rPr>
        <w:t>x</w:t>
      </w:r>
      <w:r w:rsidRPr="00A25AE0">
        <w:rPr>
          <w:rStyle w:val="A183"/>
          <w:sz w:val="32"/>
          <w:szCs w:val="24"/>
          <w:vertAlign w:val="subscript"/>
        </w:rPr>
        <w:t>3</w:t>
      </w:r>
      <w:r w:rsidRPr="00A25AE0">
        <w:rPr>
          <w:rStyle w:val="A183"/>
          <w:sz w:val="24"/>
          <w:szCs w:val="24"/>
        </w:rPr>
        <w:t xml:space="preserve"> </w:t>
      </w:r>
      <w:r w:rsidRPr="00A25AE0">
        <w:rPr>
          <w:color w:val="211D1E"/>
        </w:rPr>
        <w:t>= 7.</w:t>
      </w:r>
    </w:p>
    <w:p w:rsidR="00A25AE0" w:rsidRPr="00A25AE0" w:rsidRDefault="00A25AE0" w:rsidP="00A25AE0">
      <w:pPr>
        <w:pStyle w:val="Default"/>
        <w:rPr>
          <w:color w:val="211D1E"/>
        </w:rPr>
      </w:pPr>
      <w:r w:rsidRPr="00A25AE0">
        <w:rPr>
          <w:rStyle w:val="A185"/>
          <w:sz w:val="24"/>
          <w:szCs w:val="24"/>
        </w:rPr>
        <w:t xml:space="preserve">(b) </w:t>
      </w:r>
      <w:r w:rsidRPr="00A25AE0">
        <w:rPr>
          <w:color w:val="211D1E"/>
        </w:rPr>
        <w:t>Use MATLAB to compute the spectral and Frobenius condition numbers.</w:t>
      </w:r>
    </w:p>
    <w:p w:rsidR="00A25AE0" w:rsidRPr="00A25AE0" w:rsidRDefault="00A25AE0" w:rsidP="00A25AE0">
      <w:pPr>
        <w:pStyle w:val="Default"/>
        <w:jc w:val="center"/>
      </w:pPr>
    </w:p>
    <w:sectPr w:rsidR="00A25AE0" w:rsidRPr="00A25AE0"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58</Words>
  <Characters>331</Characters>
  <Application>Microsoft Office Word</Application>
  <DocSecurity>0</DocSecurity>
  <Lines>2</Lines>
  <Paragraphs>1</Paragraphs>
  <ScaleCrop>false</ScaleCrop>
  <Company/>
  <LinksUpToDate>false</LinksUpToDate>
  <CharactersWithSpaces>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2017-03-17T15:39:00Z</dcterms:created>
  <dcterms:modified xsi:type="dcterms:W3CDTF">2017-03-17T15:39:00Z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