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B1145" w:rsidRDefault="00512B6C" w:rsidP="006B1145">
      <w:pPr>
        <w:pStyle w:val="Default"/>
        <w:rPr>
          <w:b/>
        </w:rPr>
      </w:pPr>
      <w:r w:rsidRPr="006B1145">
        <w:rPr>
          <w:b/>
        </w:rPr>
        <w:t xml:space="preserve">Problem </w:t>
      </w:r>
      <w:r w:rsidR="009E6D8B" w:rsidRPr="006B1145">
        <w:rPr>
          <w:b/>
        </w:rPr>
        <w:t>1</w:t>
      </w:r>
      <w:r w:rsidR="006B1145" w:rsidRPr="006B1145">
        <w:rPr>
          <w:b/>
        </w:rPr>
        <w:t>2.10</w:t>
      </w:r>
    </w:p>
    <w:p w:rsidR="006B1145" w:rsidRPr="006B1145" w:rsidRDefault="006B1145" w:rsidP="006B1145">
      <w:pPr>
        <w:autoSpaceDE w:val="0"/>
        <w:autoSpaceDN w:val="0"/>
        <w:adjustRightInd w:val="0"/>
        <w:spacing w:after="0" w:line="240" w:lineRule="auto"/>
        <w:rPr>
          <w:rFonts w:ascii="STIX" w:hAnsi="STIX" w:cs="STIX"/>
          <w:color w:val="000000"/>
          <w:sz w:val="24"/>
          <w:szCs w:val="24"/>
        </w:rPr>
      </w:pPr>
    </w:p>
    <w:p w:rsidR="006B1145" w:rsidRPr="006B1145" w:rsidRDefault="006B1145" w:rsidP="006B1145">
      <w:pPr>
        <w:autoSpaceDE w:val="0"/>
        <w:autoSpaceDN w:val="0"/>
        <w:adjustRightInd w:val="0"/>
        <w:spacing w:after="0" w:line="180" w:lineRule="atLeast"/>
        <w:rPr>
          <w:rFonts w:ascii="STIX" w:hAnsi="STIX" w:cs="STIX"/>
          <w:color w:val="211D1E"/>
          <w:sz w:val="24"/>
          <w:szCs w:val="18"/>
        </w:rPr>
      </w:pPr>
      <w:r w:rsidRPr="006B1145">
        <w:rPr>
          <w:rFonts w:ascii="STIX" w:hAnsi="STIX" w:cs="STIX"/>
          <w:color w:val="211D1E"/>
          <w:sz w:val="24"/>
          <w:szCs w:val="18"/>
        </w:rPr>
        <w:t>Figure P12.10 depicts a chemical exchange process consisting of a series of reactors in which a gas flowing from left to right is passed over a liquid flowing from right to left. The transfer of a chemical from the gas into the liquid occurs at a rate that is proportional to the difference between the gas and liquid concentrations in each reactor. At steady state, a mass balance for the first reactor can be written for the gas as</w:t>
      </w:r>
    </w:p>
    <w:p w:rsidR="006B1145" w:rsidRPr="006B1145" w:rsidRDefault="006B1145" w:rsidP="006B1145">
      <w:pPr>
        <w:autoSpaceDE w:val="0"/>
        <w:autoSpaceDN w:val="0"/>
        <w:adjustRightInd w:val="0"/>
        <w:spacing w:before="260" w:after="260" w:line="180" w:lineRule="atLeast"/>
        <w:ind w:left="240"/>
        <w:jc w:val="center"/>
        <w:rPr>
          <w:rFonts w:ascii="STIX" w:hAnsi="STIX" w:cs="STIX"/>
          <w:color w:val="211D1E"/>
          <w:sz w:val="24"/>
          <w:szCs w:val="18"/>
        </w:rPr>
      </w:pPr>
      <w:r w:rsidRPr="006B1145">
        <w:rPr>
          <w:rFonts w:ascii="STIX" w:hAnsi="STIX" w:cs="STIX"/>
          <w:i/>
          <w:iCs/>
          <w:color w:val="211D1E"/>
          <w:sz w:val="24"/>
          <w:szCs w:val="18"/>
        </w:rPr>
        <w:t>Q</w:t>
      </w:r>
      <w:r w:rsidRPr="006B1145">
        <w:rPr>
          <w:rFonts w:ascii="STIX" w:hAnsi="STIX" w:cs="STIX"/>
          <w:i/>
          <w:iCs/>
          <w:color w:val="211D1E"/>
          <w:sz w:val="32"/>
          <w:vertAlign w:val="subscript"/>
        </w:rPr>
        <w:t>G</w:t>
      </w:r>
      <w:r w:rsidRPr="006B1145">
        <w:rPr>
          <w:rFonts w:ascii="STIX" w:hAnsi="STIX" w:cs="STIX"/>
          <w:i/>
          <w:iCs/>
          <w:color w:val="211D1E"/>
          <w:sz w:val="24"/>
          <w:szCs w:val="18"/>
        </w:rPr>
        <w:t>c</w:t>
      </w:r>
      <w:r w:rsidRPr="006B1145">
        <w:rPr>
          <w:rFonts w:ascii="STIX" w:hAnsi="STIX" w:cs="STIX"/>
          <w:i/>
          <w:iCs/>
          <w:color w:val="211D1E"/>
          <w:sz w:val="32"/>
          <w:vertAlign w:val="subscript"/>
        </w:rPr>
        <w:t>G</w:t>
      </w:r>
      <w:r w:rsidRPr="006B1145">
        <w:rPr>
          <w:rFonts w:ascii="STIX" w:hAnsi="STIX" w:cs="STIX"/>
          <w:color w:val="211D1E"/>
          <w:sz w:val="32"/>
          <w:vertAlign w:val="subscript"/>
        </w:rPr>
        <w:t>0</w:t>
      </w:r>
      <w:r w:rsidRPr="006B1145">
        <w:rPr>
          <w:rFonts w:ascii="STIX" w:hAnsi="STIX" w:cs="STIX"/>
          <w:color w:val="211D1E"/>
          <w:sz w:val="24"/>
        </w:rPr>
        <w:t xml:space="preserve"> </w:t>
      </w:r>
      <w:r w:rsidRPr="006B1145">
        <w:rPr>
          <w:rFonts w:ascii="STIX" w:hAnsi="STIX" w:cs="STIX"/>
          <w:color w:val="211D1E"/>
          <w:sz w:val="24"/>
          <w:szCs w:val="18"/>
        </w:rPr>
        <w:t xml:space="preserve">− </w:t>
      </w:r>
      <w:r w:rsidRPr="006B1145">
        <w:rPr>
          <w:rFonts w:ascii="STIX" w:hAnsi="STIX" w:cs="STIX"/>
          <w:i/>
          <w:iCs/>
          <w:color w:val="211D1E"/>
          <w:sz w:val="24"/>
          <w:szCs w:val="18"/>
        </w:rPr>
        <w:t>Q</w:t>
      </w:r>
      <w:r w:rsidRPr="006B1145">
        <w:rPr>
          <w:rFonts w:ascii="STIX" w:hAnsi="STIX" w:cs="STIX"/>
          <w:i/>
          <w:iCs/>
          <w:color w:val="211D1E"/>
          <w:sz w:val="32"/>
          <w:vertAlign w:val="subscript"/>
        </w:rPr>
        <w:t>G</w:t>
      </w:r>
      <w:r w:rsidRPr="006B1145">
        <w:rPr>
          <w:rFonts w:ascii="STIX" w:hAnsi="STIX" w:cs="STIX"/>
          <w:i/>
          <w:iCs/>
          <w:color w:val="211D1E"/>
          <w:sz w:val="24"/>
          <w:szCs w:val="18"/>
        </w:rPr>
        <w:t>c</w:t>
      </w:r>
      <w:r w:rsidRPr="006B1145">
        <w:rPr>
          <w:rFonts w:ascii="STIX" w:hAnsi="STIX" w:cs="STIX"/>
          <w:i/>
          <w:iCs/>
          <w:color w:val="211D1E"/>
          <w:sz w:val="32"/>
          <w:vertAlign w:val="subscript"/>
        </w:rPr>
        <w:t>G</w:t>
      </w:r>
      <w:r w:rsidRPr="006B1145">
        <w:rPr>
          <w:rFonts w:ascii="STIX" w:hAnsi="STIX" w:cs="STIX"/>
          <w:color w:val="211D1E"/>
          <w:sz w:val="32"/>
          <w:vertAlign w:val="subscript"/>
        </w:rPr>
        <w:t>1</w:t>
      </w:r>
      <w:r w:rsidRPr="006B1145">
        <w:rPr>
          <w:rFonts w:ascii="STIX" w:hAnsi="STIX" w:cs="STIX"/>
          <w:color w:val="211D1E"/>
          <w:sz w:val="24"/>
        </w:rPr>
        <w:t xml:space="preserve"> </w:t>
      </w:r>
      <w:r w:rsidRPr="006B1145">
        <w:rPr>
          <w:rFonts w:ascii="STIX" w:hAnsi="STIX" w:cs="STIX"/>
          <w:color w:val="211D1E"/>
          <w:sz w:val="24"/>
          <w:szCs w:val="18"/>
        </w:rPr>
        <w:t xml:space="preserve">+ </w:t>
      </w:r>
      <w:r w:rsidRPr="006B1145">
        <w:rPr>
          <w:rFonts w:ascii="STIX" w:hAnsi="STIX" w:cs="STIX"/>
          <w:i/>
          <w:iCs/>
          <w:color w:val="211D1E"/>
          <w:sz w:val="24"/>
          <w:szCs w:val="18"/>
        </w:rPr>
        <w:t>D</w:t>
      </w:r>
      <w:r w:rsidRPr="006B1145">
        <w:rPr>
          <w:rFonts w:ascii="STIX" w:hAnsi="STIX" w:cs="STIX"/>
          <w:color w:val="211D1E"/>
          <w:sz w:val="24"/>
          <w:szCs w:val="18"/>
        </w:rPr>
        <w:t>(</w:t>
      </w:r>
      <w:r w:rsidRPr="006B1145">
        <w:rPr>
          <w:rFonts w:ascii="STIX" w:hAnsi="STIX" w:cs="STIX"/>
          <w:i/>
          <w:iCs/>
          <w:color w:val="211D1E"/>
          <w:sz w:val="24"/>
          <w:szCs w:val="18"/>
        </w:rPr>
        <w:t>c</w:t>
      </w:r>
      <w:r w:rsidRPr="006B1145">
        <w:rPr>
          <w:rFonts w:ascii="STIX" w:hAnsi="STIX" w:cs="STIX"/>
          <w:i/>
          <w:iCs/>
          <w:color w:val="211D1E"/>
          <w:sz w:val="32"/>
          <w:vertAlign w:val="subscript"/>
        </w:rPr>
        <w:t>L</w:t>
      </w:r>
      <w:r w:rsidRPr="006B1145">
        <w:rPr>
          <w:rFonts w:ascii="STIX" w:hAnsi="STIX" w:cs="STIX"/>
          <w:color w:val="211D1E"/>
          <w:sz w:val="32"/>
          <w:vertAlign w:val="subscript"/>
        </w:rPr>
        <w:t>1</w:t>
      </w:r>
      <w:r w:rsidRPr="006B1145">
        <w:rPr>
          <w:rFonts w:ascii="STIX" w:hAnsi="STIX" w:cs="STIX"/>
          <w:color w:val="211D1E"/>
          <w:sz w:val="24"/>
        </w:rPr>
        <w:t xml:space="preserve"> </w:t>
      </w:r>
      <w:r w:rsidRPr="006B1145">
        <w:rPr>
          <w:rFonts w:ascii="STIX" w:hAnsi="STIX" w:cs="STIX"/>
          <w:color w:val="211D1E"/>
          <w:sz w:val="24"/>
          <w:szCs w:val="18"/>
        </w:rPr>
        <w:t xml:space="preserve">− </w:t>
      </w:r>
      <w:r w:rsidRPr="006B1145">
        <w:rPr>
          <w:rFonts w:ascii="STIX" w:hAnsi="STIX" w:cs="STIX"/>
          <w:i/>
          <w:iCs/>
          <w:color w:val="211D1E"/>
          <w:sz w:val="24"/>
          <w:szCs w:val="18"/>
        </w:rPr>
        <w:t>c</w:t>
      </w:r>
      <w:r w:rsidRPr="006B1145">
        <w:rPr>
          <w:rFonts w:ascii="STIX" w:hAnsi="STIX" w:cs="STIX"/>
          <w:i/>
          <w:iCs/>
          <w:color w:val="211D1E"/>
          <w:sz w:val="32"/>
          <w:vertAlign w:val="subscript"/>
        </w:rPr>
        <w:t>G</w:t>
      </w:r>
      <w:r w:rsidRPr="006B1145">
        <w:rPr>
          <w:rFonts w:ascii="STIX" w:hAnsi="STIX" w:cs="STIX"/>
          <w:color w:val="211D1E"/>
          <w:sz w:val="32"/>
          <w:vertAlign w:val="subscript"/>
        </w:rPr>
        <w:t>1</w:t>
      </w:r>
      <w:r w:rsidRPr="006B1145">
        <w:rPr>
          <w:rFonts w:ascii="STIX" w:hAnsi="STIX" w:cs="STIX"/>
          <w:color w:val="211D1E"/>
          <w:sz w:val="24"/>
          <w:szCs w:val="18"/>
        </w:rPr>
        <w:t>) = 0</w:t>
      </w:r>
    </w:p>
    <w:p w:rsidR="006B1145" w:rsidRPr="006B1145" w:rsidRDefault="006B1145" w:rsidP="006B1145">
      <w:pPr>
        <w:autoSpaceDE w:val="0"/>
        <w:autoSpaceDN w:val="0"/>
        <w:adjustRightInd w:val="0"/>
        <w:spacing w:after="0" w:line="180" w:lineRule="atLeast"/>
        <w:rPr>
          <w:rFonts w:ascii="STIX" w:hAnsi="STIX" w:cs="STIX"/>
          <w:color w:val="211D1E"/>
          <w:sz w:val="24"/>
          <w:szCs w:val="18"/>
        </w:rPr>
      </w:pPr>
      <w:r w:rsidRPr="006B1145">
        <w:rPr>
          <w:rFonts w:ascii="STIX" w:hAnsi="STIX" w:cs="STIX"/>
          <w:color w:val="211D1E"/>
          <w:sz w:val="24"/>
          <w:szCs w:val="18"/>
        </w:rPr>
        <w:t>and for the liquid as</w:t>
      </w:r>
    </w:p>
    <w:p w:rsidR="006B1145" w:rsidRPr="006B1145" w:rsidRDefault="006B1145" w:rsidP="006B1145">
      <w:pPr>
        <w:autoSpaceDE w:val="0"/>
        <w:autoSpaceDN w:val="0"/>
        <w:adjustRightInd w:val="0"/>
        <w:spacing w:before="240" w:line="180" w:lineRule="atLeast"/>
        <w:ind w:left="240"/>
        <w:jc w:val="center"/>
        <w:rPr>
          <w:rFonts w:ascii="STIX" w:hAnsi="STIX" w:cs="STIX"/>
          <w:color w:val="211D1E"/>
          <w:sz w:val="24"/>
          <w:szCs w:val="18"/>
        </w:rPr>
      </w:pPr>
      <w:r w:rsidRPr="006B1145">
        <w:rPr>
          <w:rFonts w:ascii="STIX" w:hAnsi="STIX" w:cs="STIX"/>
          <w:i/>
          <w:iCs/>
          <w:color w:val="211D1E"/>
          <w:sz w:val="24"/>
          <w:szCs w:val="18"/>
        </w:rPr>
        <w:t>Q</w:t>
      </w:r>
      <w:r w:rsidRPr="006B1145">
        <w:rPr>
          <w:rFonts w:ascii="STIX" w:hAnsi="STIX" w:cs="STIX"/>
          <w:i/>
          <w:iCs/>
          <w:color w:val="211D1E"/>
          <w:sz w:val="32"/>
          <w:vertAlign w:val="subscript"/>
        </w:rPr>
        <w:t>L</w:t>
      </w:r>
      <w:r w:rsidRPr="006B1145">
        <w:rPr>
          <w:rFonts w:ascii="STIX" w:hAnsi="STIX" w:cs="STIX"/>
          <w:i/>
          <w:iCs/>
          <w:color w:val="211D1E"/>
          <w:sz w:val="24"/>
          <w:szCs w:val="18"/>
        </w:rPr>
        <w:t>c</w:t>
      </w:r>
      <w:r w:rsidRPr="006B1145">
        <w:rPr>
          <w:rFonts w:ascii="STIX" w:hAnsi="STIX" w:cs="STIX"/>
          <w:i/>
          <w:iCs/>
          <w:color w:val="211D1E"/>
          <w:sz w:val="32"/>
          <w:vertAlign w:val="subscript"/>
        </w:rPr>
        <w:t>L</w:t>
      </w:r>
      <w:r w:rsidRPr="006B1145">
        <w:rPr>
          <w:rFonts w:ascii="STIX" w:hAnsi="STIX" w:cs="STIX"/>
          <w:color w:val="211D1E"/>
          <w:sz w:val="32"/>
          <w:vertAlign w:val="subscript"/>
        </w:rPr>
        <w:t>2</w:t>
      </w:r>
      <w:r w:rsidRPr="006B1145">
        <w:rPr>
          <w:rFonts w:ascii="STIX" w:hAnsi="STIX" w:cs="STIX"/>
          <w:color w:val="211D1E"/>
          <w:sz w:val="24"/>
        </w:rPr>
        <w:t xml:space="preserve"> </w:t>
      </w:r>
      <w:r w:rsidRPr="006B1145">
        <w:rPr>
          <w:rFonts w:ascii="STIX" w:hAnsi="STIX" w:cs="STIX"/>
          <w:color w:val="211D1E"/>
          <w:sz w:val="24"/>
          <w:szCs w:val="18"/>
        </w:rPr>
        <w:t xml:space="preserve">− </w:t>
      </w:r>
      <w:r w:rsidRPr="006B1145">
        <w:rPr>
          <w:rFonts w:ascii="STIX" w:hAnsi="STIX" w:cs="STIX"/>
          <w:i/>
          <w:iCs/>
          <w:color w:val="211D1E"/>
          <w:sz w:val="24"/>
          <w:szCs w:val="18"/>
        </w:rPr>
        <w:t>Q</w:t>
      </w:r>
      <w:r w:rsidRPr="006B1145">
        <w:rPr>
          <w:rFonts w:ascii="STIX" w:hAnsi="STIX" w:cs="STIX"/>
          <w:i/>
          <w:iCs/>
          <w:color w:val="211D1E"/>
          <w:sz w:val="32"/>
          <w:vertAlign w:val="subscript"/>
        </w:rPr>
        <w:t>L</w:t>
      </w:r>
      <w:r w:rsidRPr="006B1145">
        <w:rPr>
          <w:rFonts w:ascii="STIX" w:hAnsi="STIX" w:cs="STIX"/>
          <w:i/>
          <w:iCs/>
          <w:color w:val="211D1E"/>
          <w:sz w:val="24"/>
          <w:szCs w:val="18"/>
        </w:rPr>
        <w:t>c</w:t>
      </w:r>
      <w:r w:rsidRPr="006B1145">
        <w:rPr>
          <w:rFonts w:ascii="STIX" w:hAnsi="STIX" w:cs="STIX"/>
          <w:i/>
          <w:iCs/>
          <w:color w:val="211D1E"/>
          <w:sz w:val="32"/>
          <w:vertAlign w:val="subscript"/>
        </w:rPr>
        <w:t>L</w:t>
      </w:r>
      <w:r w:rsidRPr="006B1145">
        <w:rPr>
          <w:rFonts w:ascii="STIX" w:hAnsi="STIX" w:cs="STIX"/>
          <w:color w:val="211D1E"/>
          <w:sz w:val="32"/>
          <w:vertAlign w:val="subscript"/>
        </w:rPr>
        <w:t>1</w:t>
      </w:r>
      <w:r w:rsidRPr="006B1145">
        <w:rPr>
          <w:rFonts w:ascii="STIX" w:hAnsi="STIX" w:cs="STIX"/>
          <w:color w:val="211D1E"/>
          <w:sz w:val="24"/>
        </w:rPr>
        <w:t xml:space="preserve"> </w:t>
      </w:r>
      <w:r w:rsidRPr="006B1145">
        <w:rPr>
          <w:rFonts w:ascii="STIX" w:hAnsi="STIX" w:cs="STIX"/>
          <w:color w:val="211D1E"/>
          <w:sz w:val="24"/>
          <w:szCs w:val="18"/>
        </w:rPr>
        <w:t xml:space="preserve">+ </w:t>
      </w:r>
      <w:r w:rsidRPr="006B1145">
        <w:rPr>
          <w:rFonts w:ascii="STIX" w:hAnsi="STIX" w:cs="STIX"/>
          <w:i/>
          <w:iCs/>
          <w:color w:val="211D1E"/>
          <w:sz w:val="24"/>
          <w:szCs w:val="18"/>
        </w:rPr>
        <w:t>D</w:t>
      </w:r>
      <w:r w:rsidRPr="006B1145">
        <w:rPr>
          <w:rFonts w:ascii="STIX" w:hAnsi="STIX" w:cs="STIX"/>
          <w:color w:val="211D1E"/>
          <w:sz w:val="24"/>
          <w:szCs w:val="18"/>
        </w:rPr>
        <w:t>(</w:t>
      </w:r>
      <w:r w:rsidRPr="006B1145">
        <w:rPr>
          <w:rFonts w:ascii="STIX" w:hAnsi="STIX" w:cs="STIX"/>
          <w:i/>
          <w:iCs/>
          <w:color w:val="211D1E"/>
          <w:sz w:val="24"/>
          <w:szCs w:val="18"/>
        </w:rPr>
        <w:t>c</w:t>
      </w:r>
      <w:r w:rsidRPr="006B1145">
        <w:rPr>
          <w:rFonts w:ascii="STIX" w:hAnsi="STIX" w:cs="STIX"/>
          <w:i/>
          <w:iCs/>
          <w:color w:val="211D1E"/>
          <w:sz w:val="32"/>
          <w:vertAlign w:val="subscript"/>
        </w:rPr>
        <w:t>G</w:t>
      </w:r>
      <w:r w:rsidRPr="006B1145">
        <w:rPr>
          <w:rFonts w:ascii="STIX" w:hAnsi="STIX" w:cs="STIX"/>
          <w:color w:val="211D1E"/>
          <w:sz w:val="32"/>
          <w:vertAlign w:val="subscript"/>
        </w:rPr>
        <w:t>1</w:t>
      </w:r>
      <w:r w:rsidRPr="006B1145">
        <w:rPr>
          <w:rFonts w:ascii="STIX" w:hAnsi="STIX" w:cs="STIX"/>
          <w:color w:val="211D1E"/>
          <w:sz w:val="24"/>
        </w:rPr>
        <w:t xml:space="preserve"> </w:t>
      </w:r>
      <w:r w:rsidRPr="006B1145">
        <w:rPr>
          <w:rFonts w:ascii="STIX" w:hAnsi="STIX" w:cs="STIX"/>
          <w:color w:val="211D1E"/>
          <w:sz w:val="24"/>
          <w:szCs w:val="18"/>
        </w:rPr>
        <w:t xml:space="preserve">− </w:t>
      </w:r>
      <w:r w:rsidRPr="006B1145">
        <w:rPr>
          <w:rFonts w:ascii="STIX" w:hAnsi="STIX" w:cs="STIX"/>
          <w:i/>
          <w:iCs/>
          <w:color w:val="211D1E"/>
          <w:sz w:val="24"/>
          <w:szCs w:val="18"/>
        </w:rPr>
        <w:t>c</w:t>
      </w:r>
      <w:r w:rsidRPr="006B1145">
        <w:rPr>
          <w:rFonts w:ascii="STIX" w:hAnsi="STIX" w:cs="STIX"/>
          <w:i/>
          <w:iCs/>
          <w:color w:val="211D1E"/>
          <w:sz w:val="32"/>
          <w:vertAlign w:val="subscript"/>
        </w:rPr>
        <w:t>L</w:t>
      </w:r>
      <w:r w:rsidRPr="006B1145">
        <w:rPr>
          <w:rFonts w:ascii="STIX" w:hAnsi="STIX" w:cs="STIX"/>
          <w:color w:val="211D1E"/>
          <w:sz w:val="32"/>
          <w:vertAlign w:val="subscript"/>
        </w:rPr>
        <w:t>1</w:t>
      </w:r>
      <w:r w:rsidRPr="006B1145">
        <w:rPr>
          <w:rFonts w:ascii="STIX" w:hAnsi="STIX" w:cs="STIX"/>
          <w:color w:val="211D1E"/>
          <w:sz w:val="24"/>
          <w:szCs w:val="18"/>
        </w:rPr>
        <w:t>) = 0</w:t>
      </w:r>
    </w:p>
    <w:p w:rsidR="008A6AF6" w:rsidRDefault="006B1145" w:rsidP="006B1145">
      <w:pPr>
        <w:autoSpaceDE w:val="0"/>
        <w:autoSpaceDN w:val="0"/>
        <w:adjustRightInd w:val="0"/>
        <w:spacing w:after="0" w:line="240" w:lineRule="auto"/>
        <w:rPr>
          <w:rFonts w:ascii="STIX" w:hAnsi="STIX" w:cs="STIX"/>
          <w:color w:val="211D1E"/>
          <w:sz w:val="24"/>
          <w:szCs w:val="18"/>
        </w:rPr>
      </w:pPr>
      <w:r w:rsidRPr="006B1145">
        <w:rPr>
          <w:rFonts w:ascii="STIX" w:hAnsi="STIX" w:cs="STIX"/>
          <w:color w:val="211D1E"/>
          <w:sz w:val="24"/>
          <w:szCs w:val="18"/>
        </w:rPr>
        <w:t xml:space="preserve">where </w:t>
      </w:r>
      <w:r w:rsidRPr="006B1145">
        <w:rPr>
          <w:rFonts w:ascii="STIX" w:hAnsi="STIX" w:cs="STIX"/>
          <w:i/>
          <w:iCs/>
          <w:color w:val="211D1E"/>
          <w:sz w:val="24"/>
          <w:szCs w:val="18"/>
        </w:rPr>
        <w:t>Q</w:t>
      </w:r>
      <w:r w:rsidRPr="006B1145">
        <w:rPr>
          <w:rFonts w:ascii="STIX" w:hAnsi="STIX" w:cs="STIX"/>
          <w:i/>
          <w:iCs/>
          <w:color w:val="211D1E"/>
          <w:sz w:val="32"/>
          <w:vertAlign w:val="subscript"/>
        </w:rPr>
        <w:t>G</w:t>
      </w:r>
      <w:r w:rsidRPr="006B1145">
        <w:rPr>
          <w:rFonts w:ascii="STIX" w:hAnsi="STIX" w:cs="STIX"/>
          <w:i/>
          <w:iCs/>
          <w:color w:val="211D1E"/>
          <w:sz w:val="24"/>
        </w:rPr>
        <w:t xml:space="preserve"> </w:t>
      </w:r>
      <w:r w:rsidRPr="006B1145">
        <w:rPr>
          <w:rFonts w:ascii="STIX" w:hAnsi="STIX" w:cs="STIX"/>
          <w:color w:val="211D1E"/>
          <w:sz w:val="24"/>
          <w:szCs w:val="18"/>
        </w:rPr>
        <w:t xml:space="preserve">and </w:t>
      </w:r>
      <w:r w:rsidRPr="006B1145">
        <w:rPr>
          <w:rFonts w:ascii="STIX" w:hAnsi="STIX" w:cs="STIX"/>
          <w:i/>
          <w:iCs/>
          <w:color w:val="211D1E"/>
          <w:sz w:val="24"/>
          <w:szCs w:val="18"/>
        </w:rPr>
        <w:t>Q</w:t>
      </w:r>
      <w:r w:rsidRPr="006B1145">
        <w:rPr>
          <w:rFonts w:ascii="STIX" w:hAnsi="STIX" w:cs="STIX"/>
          <w:i/>
          <w:iCs/>
          <w:color w:val="211D1E"/>
          <w:sz w:val="32"/>
          <w:vertAlign w:val="subscript"/>
        </w:rPr>
        <w:t>L</w:t>
      </w:r>
      <w:r w:rsidRPr="006B1145">
        <w:rPr>
          <w:rFonts w:ascii="STIX" w:hAnsi="STIX" w:cs="STIX"/>
          <w:i/>
          <w:iCs/>
          <w:color w:val="211D1E"/>
          <w:sz w:val="24"/>
        </w:rPr>
        <w:t xml:space="preserve"> </w:t>
      </w:r>
      <w:r w:rsidRPr="006B1145">
        <w:rPr>
          <w:rFonts w:ascii="STIX" w:hAnsi="STIX" w:cs="STIX"/>
          <w:color w:val="211D1E"/>
          <w:sz w:val="24"/>
          <w:szCs w:val="18"/>
        </w:rPr>
        <w:t>are the gas and liquid flow rates, respec</w:t>
      </w:r>
      <w:r w:rsidRPr="006B1145">
        <w:rPr>
          <w:rFonts w:ascii="STIX" w:hAnsi="STIX" w:cs="STIX"/>
          <w:color w:val="211D1E"/>
          <w:sz w:val="24"/>
          <w:szCs w:val="18"/>
        </w:rPr>
        <w:softHyphen/>
        <w:t xml:space="preserve">tively, and </w:t>
      </w:r>
      <w:r w:rsidRPr="006B1145">
        <w:rPr>
          <w:rFonts w:ascii="STIX" w:hAnsi="STIX" w:cs="STIX"/>
          <w:i/>
          <w:iCs/>
          <w:color w:val="211D1E"/>
          <w:sz w:val="24"/>
          <w:szCs w:val="18"/>
        </w:rPr>
        <w:t xml:space="preserve">D </w:t>
      </w:r>
      <w:r w:rsidRPr="006B1145">
        <w:rPr>
          <w:rFonts w:ascii="STIX" w:hAnsi="STIX" w:cs="STIX"/>
          <w:color w:val="211D1E"/>
          <w:sz w:val="24"/>
          <w:szCs w:val="18"/>
        </w:rPr>
        <w:t>= the gas-liquid exchange rate. Similar bal</w:t>
      </w:r>
      <w:r w:rsidRPr="006B1145">
        <w:rPr>
          <w:rFonts w:ascii="STIX" w:hAnsi="STIX" w:cs="STIX"/>
          <w:color w:val="211D1E"/>
          <w:sz w:val="24"/>
          <w:szCs w:val="18"/>
        </w:rPr>
        <w:softHyphen/>
        <w:t xml:space="preserve">ances can be written for the other reactors. Use Gauss-Seidel without relaxation to solve for the concentrations given the following values: </w:t>
      </w:r>
      <w:r w:rsidRPr="006B1145">
        <w:rPr>
          <w:rFonts w:ascii="STIX" w:hAnsi="STIX" w:cs="STIX"/>
          <w:i/>
          <w:iCs/>
          <w:color w:val="211D1E"/>
          <w:sz w:val="24"/>
          <w:szCs w:val="18"/>
        </w:rPr>
        <w:t>Q</w:t>
      </w:r>
      <w:r w:rsidRPr="006B1145">
        <w:rPr>
          <w:rFonts w:ascii="STIX" w:hAnsi="STIX" w:cs="STIX"/>
          <w:i/>
          <w:iCs/>
          <w:color w:val="211D1E"/>
          <w:sz w:val="32"/>
          <w:vertAlign w:val="subscript"/>
        </w:rPr>
        <w:t>G</w:t>
      </w:r>
      <w:r w:rsidRPr="006B1145">
        <w:rPr>
          <w:rFonts w:ascii="STIX" w:hAnsi="STIX" w:cs="STIX"/>
          <w:i/>
          <w:iCs/>
          <w:color w:val="211D1E"/>
          <w:sz w:val="24"/>
        </w:rPr>
        <w:t xml:space="preserve"> </w:t>
      </w:r>
      <w:r w:rsidRPr="006B1145">
        <w:rPr>
          <w:rFonts w:ascii="STIX" w:hAnsi="STIX" w:cs="STIX"/>
          <w:color w:val="211D1E"/>
          <w:sz w:val="24"/>
          <w:szCs w:val="18"/>
        </w:rPr>
        <w:t xml:space="preserve">= 2, </w:t>
      </w:r>
      <w:r w:rsidRPr="006B1145">
        <w:rPr>
          <w:rFonts w:ascii="STIX" w:hAnsi="STIX" w:cs="STIX"/>
          <w:i/>
          <w:iCs/>
          <w:color w:val="211D1E"/>
          <w:sz w:val="24"/>
          <w:szCs w:val="18"/>
        </w:rPr>
        <w:t>Q</w:t>
      </w:r>
      <w:r w:rsidRPr="006B1145">
        <w:rPr>
          <w:rFonts w:ascii="STIX" w:hAnsi="STIX" w:cs="STIX"/>
          <w:i/>
          <w:iCs/>
          <w:color w:val="211D1E"/>
          <w:sz w:val="32"/>
          <w:vertAlign w:val="subscript"/>
        </w:rPr>
        <w:t>L</w:t>
      </w:r>
      <w:r w:rsidRPr="006B1145">
        <w:rPr>
          <w:rFonts w:ascii="STIX" w:hAnsi="STIX" w:cs="STIX"/>
          <w:i/>
          <w:iCs/>
          <w:color w:val="211D1E"/>
          <w:sz w:val="24"/>
        </w:rPr>
        <w:t xml:space="preserve"> </w:t>
      </w:r>
      <w:r w:rsidRPr="006B1145">
        <w:rPr>
          <w:rFonts w:ascii="STIX" w:hAnsi="STIX" w:cs="STIX"/>
          <w:color w:val="211D1E"/>
          <w:sz w:val="24"/>
          <w:szCs w:val="18"/>
        </w:rPr>
        <w:t xml:space="preserve">= 1, </w:t>
      </w:r>
      <w:r w:rsidRPr="006B1145">
        <w:rPr>
          <w:rFonts w:ascii="STIX" w:hAnsi="STIX" w:cs="STIX"/>
          <w:i/>
          <w:iCs/>
          <w:color w:val="211D1E"/>
          <w:sz w:val="24"/>
          <w:szCs w:val="18"/>
        </w:rPr>
        <w:t xml:space="preserve">D </w:t>
      </w:r>
      <w:r w:rsidRPr="006B1145">
        <w:rPr>
          <w:rFonts w:ascii="STIX" w:hAnsi="STIX" w:cs="STIX"/>
          <w:color w:val="211D1E"/>
          <w:sz w:val="24"/>
          <w:szCs w:val="18"/>
        </w:rPr>
        <w:t xml:space="preserve">= 0.8, </w:t>
      </w:r>
      <w:r w:rsidRPr="006B1145">
        <w:rPr>
          <w:rFonts w:ascii="STIX" w:hAnsi="STIX" w:cs="STIX"/>
          <w:i/>
          <w:iCs/>
          <w:color w:val="211D1E"/>
          <w:sz w:val="24"/>
          <w:szCs w:val="18"/>
        </w:rPr>
        <w:t>c</w:t>
      </w:r>
      <w:r w:rsidRPr="006B1145">
        <w:rPr>
          <w:rFonts w:ascii="STIX" w:hAnsi="STIX" w:cs="STIX"/>
          <w:i/>
          <w:iCs/>
          <w:color w:val="211D1E"/>
          <w:sz w:val="32"/>
          <w:vertAlign w:val="subscript"/>
        </w:rPr>
        <w:t>G</w:t>
      </w:r>
      <w:r w:rsidRPr="006B1145">
        <w:rPr>
          <w:rFonts w:ascii="STIX" w:hAnsi="STIX" w:cs="STIX"/>
          <w:color w:val="211D1E"/>
          <w:sz w:val="32"/>
          <w:vertAlign w:val="subscript"/>
        </w:rPr>
        <w:t>0</w:t>
      </w:r>
      <w:r w:rsidRPr="006B1145">
        <w:rPr>
          <w:rFonts w:ascii="STIX" w:hAnsi="STIX" w:cs="STIX"/>
          <w:color w:val="211D1E"/>
          <w:sz w:val="24"/>
        </w:rPr>
        <w:t xml:space="preserve"> </w:t>
      </w:r>
      <w:r w:rsidRPr="006B1145">
        <w:rPr>
          <w:rFonts w:ascii="STIX" w:hAnsi="STIX" w:cs="STIX"/>
          <w:color w:val="211D1E"/>
          <w:sz w:val="24"/>
          <w:szCs w:val="18"/>
        </w:rPr>
        <w:t xml:space="preserve">= 100, </w:t>
      </w:r>
      <w:r w:rsidRPr="006B1145">
        <w:rPr>
          <w:rFonts w:ascii="STIX" w:hAnsi="STIX" w:cs="STIX"/>
          <w:i/>
          <w:iCs/>
          <w:color w:val="211D1E"/>
          <w:sz w:val="24"/>
          <w:szCs w:val="18"/>
        </w:rPr>
        <w:t>c</w:t>
      </w:r>
      <w:r w:rsidRPr="006B1145">
        <w:rPr>
          <w:rFonts w:ascii="STIX" w:hAnsi="STIX" w:cs="STIX"/>
          <w:i/>
          <w:iCs/>
          <w:color w:val="211D1E"/>
          <w:sz w:val="32"/>
          <w:vertAlign w:val="subscript"/>
        </w:rPr>
        <w:t>L</w:t>
      </w:r>
      <w:r w:rsidRPr="006B1145">
        <w:rPr>
          <w:rFonts w:ascii="STIX" w:hAnsi="STIX" w:cs="STIX"/>
          <w:color w:val="211D1E"/>
          <w:sz w:val="32"/>
          <w:vertAlign w:val="subscript"/>
        </w:rPr>
        <w:t>6</w:t>
      </w:r>
      <w:r w:rsidRPr="006B1145">
        <w:rPr>
          <w:rFonts w:ascii="STIX" w:hAnsi="STIX" w:cs="STIX"/>
          <w:color w:val="211D1E"/>
          <w:sz w:val="24"/>
        </w:rPr>
        <w:t xml:space="preserve"> </w:t>
      </w:r>
      <w:r w:rsidRPr="006B1145">
        <w:rPr>
          <w:rFonts w:ascii="STIX" w:hAnsi="STIX" w:cs="STIX"/>
          <w:color w:val="211D1E"/>
          <w:sz w:val="24"/>
          <w:szCs w:val="18"/>
        </w:rPr>
        <w:t xml:space="preserve">= 10. </w:t>
      </w:r>
    </w:p>
    <w:p w:rsidR="006B1145" w:rsidRDefault="006B1145" w:rsidP="006B1145">
      <w:pPr>
        <w:autoSpaceDE w:val="0"/>
        <w:autoSpaceDN w:val="0"/>
        <w:adjustRightInd w:val="0"/>
        <w:spacing w:after="0" w:line="240" w:lineRule="auto"/>
        <w:rPr>
          <w:rFonts w:ascii="STIX" w:hAnsi="STIX" w:cs="STIX"/>
          <w:color w:val="211D1E"/>
          <w:sz w:val="24"/>
          <w:szCs w:val="18"/>
        </w:rPr>
      </w:pPr>
    </w:p>
    <w:p w:rsidR="006B1145" w:rsidRPr="006B1145" w:rsidRDefault="006B1145" w:rsidP="006B1145">
      <w:pPr>
        <w:autoSpaceDE w:val="0"/>
        <w:autoSpaceDN w:val="0"/>
        <w:adjustRightInd w:val="0"/>
        <w:spacing w:after="0" w:line="240" w:lineRule="auto"/>
        <w:jc w:val="center"/>
        <w:rPr>
          <w:rFonts w:ascii="STIX" w:hAnsi="STIX" w:cs="STIX"/>
          <w:sz w:val="24"/>
        </w:rPr>
      </w:pPr>
      <w:r>
        <w:rPr>
          <w:rFonts w:ascii="STIX" w:hAnsi="STIX" w:cs="STIX"/>
          <w:noProof/>
          <w:sz w:val="24"/>
        </w:rPr>
        <w:drawing>
          <wp:inline distT="0" distB="0" distL="0" distR="0">
            <wp:extent cx="4162425" cy="1734806"/>
            <wp:effectExtent l="19050" t="0" r="9525"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7" cstate="print"/>
                    <a:srcRect/>
                    <a:stretch>
                      <a:fillRect/>
                    </a:stretch>
                  </pic:blipFill>
                  <pic:spPr bwMode="auto">
                    <a:xfrm>
                      <a:off x="0" y="0"/>
                      <a:ext cx="4163534" cy="1735268"/>
                    </a:xfrm>
                    <a:prstGeom prst="rect">
                      <a:avLst/>
                    </a:prstGeom>
                    <a:noFill/>
                    <a:ln w="9525">
                      <a:noFill/>
                      <a:miter lim="800000"/>
                      <a:headEnd/>
                      <a:tailEnd/>
                    </a:ln>
                  </pic:spPr>
                </pic:pic>
              </a:graphicData>
            </a:graphic>
          </wp:inline>
        </w:drawing>
      </w:r>
    </w:p>
    <w:sectPr w:rsidR="006B1145" w:rsidRPr="006B1145" w:rsidSect="006838AF">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38AF"/>
    <w:rsid w:val="00684B63"/>
    <w:rsid w:val="0068728D"/>
    <w:rsid w:val="00690AB4"/>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125</Words>
  <Characters>719</Characters>
  <Application>Microsoft Office Word</Application>
  <DocSecurity>0</DocSecurity>
  <Lines>5</Lines>
  <Paragraphs>1</Paragraphs>
  <ScaleCrop>false</ScaleCrop>
  <Company/>
  <LinksUpToDate>false</LinksUpToDate>
  <CharactersWithSpaces>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2017-03-18T16:34:00Z</dcterms:created>
  <dcterms:modified xsi:type="dcterms:W3CDTF">2017-03-18T16:34:00Z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