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40ABB" w:rsidRDefault="00512B6C" w:rsidP="00040ABB">
      <w:pPr>
        <w:pStyle w:val="Default"/>
        <w:rPr>
          <w:b/>
        </w:rPr>
      </w:pPr>
      <w:r w:rsidRPr="00040ABB">
        <w:rPr>
          <w:b/>
        </w:rPr>
        <w:t xml:space="preserve">Problem </w:t>
      </w:r>
      <w:r w:rsidR="00040ABB" w:rsidRPr="00040ABB">
        <w:rPr>
          <w:b/>
        </w:rPr>
        <w:t>13.12</w:t>
      </w:r>
    </w:p>
    <w:p w:rsidR="00040ABB" w:rsidRPr="00040ABB" w:rsidRDefault="00040ABB" w:rsidP="00040ABB">
      <w:pPr>
        <w:pStyle w:val="Default"/>
      </w:pPr>
    </w:p>
    <w:p w:rsidR="00B53661" w:rsidRDefault="00040ABB" w:rsidP="00040ABB">
      <w:pPr>
        <w:autoSpaceDE w:val="0"/>
        <w:autoSpaceDN w:val="0"/>
        <w:adjustRightInd w:val="0"/>
        <w:spacing w:after="0" w:line="240" w:lineRule="auto"/>
        <w:rPr>
          <w:rFonts w:ascii="STIX" w:hAnsi="STIX" w:cs="STIX"/>
          <w:color w:val="211D1E"/>
          <w:sz w:val="24"/>
          <w:szCs w:val="18"/>
        </w:rPr>
      </w:pPr>
      <w:r w:rsidRPr="00040ABB">
        <w:rPr>
          <w:rFonts w:ascii="STIX" w:hAnsi="STIX" w:cs="STIX"/>
          <w:color w:val="211D1E"/>
          <w:sz w:val="24"/>
          <w:szCs w:val="18"/>
        </w:rPr>
        <w:t xml:space="preserve">Water flows between the North American Great Lakes as depicted in Fig. P13.12. Based on mass balances, the following differential equations can be written for the concentrations in each of the lakes for a pollutant that decays with first-order kinetics: </w:t>
      </w:r>
    </w:p>
    <w:p w:rsidR="006948D1" w:rsidRDefault="006948D1" w:rsidP="00040ABB">
      <w:pPr>
        <w:autoSpaceDE w:val="0"/>
        <w:autoSpaceDN w:val="0"/>
        <w:adjustRightInd w:val="0"/>
        <w:spacing w:after="0" w:line="240" w:lineRule="auto"/>
        <w:rPr>
          <w:rFonts w:ascii="STIX" w:hAnsi="STIX" w:cs="STIX"/>
          <w:color w:val="211D1E"/>
          <w:sz w:val="24"/>
          <w:szCs w:val="18"/>
        </w:rPr>
      </w:pPr>
    </w:p>
    <w:p w:rsidR="00040ABB" w:rsidRDefault="00935F7A" w:rsidP="00040ABB">
      <w:pPr>
        <w:autoSpaceDE w:val="0"/>
        <w:autoSpaceDN w:val="0"/>
        <w:adjustRightInd w:val="0"/>
        <w:spacing w:after="0" w:line="240" w:lineRule="auto"/>
        <w:rPr>
          <w:rFonts w:ascii="STIX" w:hAnsi="STIX" w:cs="STIX"/>
          <w:color w:val="211D1E"/>
          <w:sz w:val="24"/>
          <w:szCs w:val="18"/>
        </w:rPr>
      </w:pPr>
      <w:r>
        <w:rPr>
          <w:rFonts w:ascii="STIX" w:hAnsi="STIX" w:cs="STIX"/>
          <w:noProof/>
          <w:color w:val="211D1E"/>
          <w:sz w:val="24"/>
          <w:szCs w:val="18"/>
        </w:rPr>
        <w:drawing>
          <wp:anchor distT="0" distB="0" distL="114300" distR="114300" simplePos="0" relativeHeight="251658240" behindDoc="0" locked="0" layoutInCell="1" allowOverlap="1">
            <wp:simplePos x="0" y="0"/>
            <wp:positionH relativeFrom="column">
              <wp:posOffset>2200275</wp:posOffset>
            </wp:positionH>
            <wp:positionV relativeFrom="paragraph">
              <wp:posOffset>1332590</wp:posOffset>
            </wp:positionV>
            <wp:extent cx="3771900" cy="2787926"/>
            <wp:effectExtent l="19050" t="0" r="0" b="0"/>
            <wp:wrapNone/>
            <wp:docPr id="7"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7" cstate="print"/>
                    <a:srcRect/>
                    <a:stretch>
                      <a:fillRect/>
                    </a:stretch>
                  </pic:blipFill>
                  <pic:spPr bwMode="auto">
                    <a:xfrm>
                      <a:off x="0" y="0"/>
                      <a:ext cx="3771900" cy="2787926"/>
                    </a:xfrm>
                    <a:prstGeom prst="rect">
                      <a:avLst/>
                    </a:prstGeom>
                    <a:noFill/>
                    <a:ln w="9525">
                      <a:noFill/>
                      <a:miter lim="800000"/>
                      <a:headEnd/>
                      <a:tailEnd/>
                    </a:ln>
                  </pic:spPr>
                </pic:pic>
              </a:graphicData>
            </a:graphic>
          </wp:anchor>
        </w:drawing>
      </w:r>
      <w:r w:rsidR="00040ABB" w:rsidRPr="00040ABB">
        <w:rPr>
          <w:rFonts w:ascii="STIX" w:hAnsi="STIX" w:cs="STIX"/>
          <w:color w:val="211D1E"/>
          <w:position w:val="-146"/>
          <w:sz w:val="24"/>
          <w:szCs w:val="18"/>
        </w:rPr>
        <w:object w:dxaOrig="4560" w:dyaOrig="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80" type="#_x0000_t75" style="width:228pt;height:152.25pt" o:ole="">
            <v:imagedata r:id="rId8" o:title=""/>
          </v:shape>
          <o:OLEObject Type="Embed" ProgID="Equation.DSMT4" ShapeID="_x0000_i2580" DrawAspect="Content" ObjectID="_1551350669" r:id="rId9"/>
        </w:object>
      </w:r>
      <w:r w:rsidR="00040ABB">
        <w:rPr>
          <w:rFonts w:ascii="STIX" w:hAnsi="STIX" w:cs="STIX"/>
          <w:color w:val="211D1E"/>
          <w:sz w:val="24"/>
          <w:szCs w:val="18"/>
        </w:rPr>
        <w:t xml:space="preserve"> </w:t>
      </w:r>
    </w:p>
    <w:p w:rsidR="00040ABB" w:rsidRPr="00040ABB" w:rsidRDefault="00040ABB" w:rsidP="00040ABB">
      <w:pPr>
        <w:autoSpaceDE w:val="0"/>
        <w:autoSpaceDN w:val="0"/>
        <w:adjustRightInd w:val="0"/>
        <w:spacing w:after="0" w:line="240" w:lineRule="auto"/>
        <w:rPr>
          <w:rFonts w:ascii="STIX" w:hAnsi="STIX" w:cs="STIX"/>
          <w:color w:val="000000"/>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935F7A" w:rsidRDefault="00935F7A" w:rsidP="00040ABB">
      <w:pPr>
        <w:autoSpaceDE w:val="0"/>
        <w:autoSpaceDN w:val="0"/>
        <w:adjustRightInd w:val="0"/>
        <w:spacing w:after="0" w:line="240" w:lineRule="auto"/>
        <w:rPr>
          <w:rFonts w:ascii="STIX" w:hAnsi="STIX" w:cs="STIX"/>
          <w:color w:val="211D1E"/>
          <w:sz w:val="24"/>
          <w:szCs w:val="24"/>
        </w:rPr>
      </w:pPr>
    </w:p>
    <w:p w:rsidR="00040ABB" w:rsidRDefault="00040ABB" w:rsidP="00040ABB">
      <w:pPr>
        <w:autoSpaceDE w:val="0"/>
        <w:autoSpaceDN w:val="0"/>
        <w:adjustRightInd w:val="0"/>
        <w:spacing w:after="0" w:line="240" w:lineRule="auto"/>
        <w:rPr>
          <w:rFonts w:ascii="STIX" w:hAnsi="STIX" w:cs="STIX"/>
          <w:color w:val="211D1E"/>
          <w:sz w:val="24"/>
          <w:szCs w:val="24"/>
        </w:rPr>
      </w:pPr>
      <w:r w:rsidRPr="00040ABB">
        <w:rPr>
          <w:rFonts w:ascii="STIX" w:hAnsi="STIX" w:cs="STIX"/>
          <w:color w:val="211D1E"/>
          <w:sz w:val="24"/>
          <w:szCs w:val="24"/>
        </w:rPr>
        <w:t xml:space="preserve">where </w:t>
      </w:r>
      <w:r w:rsidRPr="00040ABB">
        <w:rPr>
          <w:rFonts w:ascii="STIX" w:hAnsi="STIX" w:cs="STIX"/>
          <w:i/>
          <w:iCs/>
          <w:color w:val="211D1E"/>
          <w:sz w:val="24"/>
          <w:szCs w:val="24"/>
        </w:rPr>
        <w:t xml:space="preserve">k </w:t>
      </w:r>
      <w:r w:rsidRPr="00040ABB">
        <w:rPr>
          <w:rFonts w:ascii="STIX" w:hAnsi="STIX" w:cs="STIX"/>
          <w:color w:val="211D1E"/>
          <w:sz w:val="24"/>
          <w:szCs w:val="24"/>
        </w:rPr>
        <w:t>= the first-order decay rate (/yr), which is equal to 0.69315/(half-life). Note that the constants in each of the equations account for the flow between the lakes. Due to the testing of nuclear weapons in the atmosphere, the con</w:t>
      </w:r>
      <w:r w:rsidRPr="00040ABB">
        <w:rPr>
          <w:rFonts w:ascii="STIX" w:hAnsi="STIX" w:cs="STIX"/>
          <w:color w:val="211D1E"/>
          <w:sz w:val="24"/>
          <w:szCs w:val="24"/>
        </w:rPr>
        <w:softHyphen/>
        <w:t>centrations of strontium-90 (90Sr) in the five lakes in 1963 were approximately {</w:t>
      </w:r>
      <w:r w:rsidRPr="00040ABB">
        <w:rPr>
          <w:rFonts w:ascii="STIX" w:hAnsi="STIX" w:cs="STIX"/>
          <w:i/>
          <w:iCs/>
          <w:color w:val="211D1E"/>
          <w:sz w:val="24"/>
          <w:szCs w:val="24"/>
        </w:rPr>
        <w:t>c</w:t>
      </w:r>
      <w:r w:rsidRPr="00040ABB">
        <w:rPr>
          <w:rFonts w:ascii="STIX" w:hAnsi="STIX" w:cs="STIX"/>
          <w:color w:val="211D1E"/>
          <w:sz w:val="24"/>
          <w:szCs w:val="24"/>
        </w:rPr>
        <w:t>} = {17.7 30.5 43.9 136.3 30.1}</w:t>
      </w:r>
      <w:r w:rsidRPr="00040ABB">
        <w:rPr>
          <w:rFonts w:ascii="STIX" w:hAnsi="STIX" w:cs="STIX"/>
          <w:i/>
          <w:iCs/>
          <w:color w:val="211D1E"/>
          <w:sz w:val="32"/>
          <w:szCs w:val="24"/>
          <w:vertAlign w:val="superscript"/>
        </w:rPr>
        <w:t>T</w:t>
      </w:r>
      <w:r w:rsidRPr="00040ABB">
        <w:rPr>
          <w:rFonts w:ascii="STIX" w:hAnsi="STIX" w:cs="STIX"/>
          <w:i/>
          <w:iCs/>
          <w:color w:val="211D1E"/>
          <w:sz w:val="24"/>
          <w:szCs w:val="24"/>
        </w:rPr>
        <w:t xml:space="preserve"> </w:t>
      </w:r>
      <w:r w:rsidRPr="00040ABB">
        <w:rPr>
          <w:rFonts w:ascii="STIX" w:hAnsi="STIX" w:cs="STIX"/>
          <w:color w:val="211D1E"/>
          <w:sz w:val="24"/>
          <w:szCs w:val="24"/>
        </w:rPr>
        <w:t>in units of Bq/m</w:t>
      </w:r>
      <w:r w:rsidRPr="00040ABB">
        <w:rPr>
          <w:rFonts w:ascii="STIX" w:hAnsi="STIX" w:cs="STIX"/>
          <w:color w:val="211D1E"/>
          <w:sz w:val="32"/>
          <w:szCs w:val="24"/>
          <w:vertAlign w:val="superscript"/>
        </w:rPr>
        <w:t>3</w:t>
      </w:r>
      <w:r w:rsidRPr="00040ABB">
        <w:rPr>
          <w:rFonts w:ascii="STIX" w:hAnsi="STIX" w:cs="STIX"/>
          <w:color w:val="211D1E"/>
          <w:sz w:val="24"/>
          <w:szCs w:val="24"/>
        </w:rPr>
        <w:t>. Assuming that no additional 90Sr entered the system thereafter, use MATLAB and the approach outlined in Prob. 13.11 to compute the concentrations in each of the lakes from 1963 through 2010. Note that 90Sr has a half-life of 28.8 years.</w:t>
      </w:r>
    </w:p>
    <w:p w:rsidR="00935F7A" w:rsidRDefault="00935F7A" w:rsidP="00040ABB">
      <w:pPr>
        <w:autoSpaceDE w:val="0"/>
        <w:autoSpaceDN w:val="0"/>
        <w:adjustRightInd w:val="0"/>
        <w:spacing w:after="0" w:line="240" w:lineRule="auto"/>
        <w:rPr>
          <w:rFonts w:ascii="STIX" w:hAnsi="STIX" w:cs="STIX"/>
          <w:color w:val="211D1E"/>
          <w:sz w:val="24"/>
          <w:szCs w:val="24"/>
        </w:rPr>
      </w:pPr>
    </w:p>
    <w:p w:rsidR="006948D1" w:rsidRDefault="006948D1" w:rsidP="006948D1">
      <w:pPr>
        <w:rPr>
          <w:rFonts w:ascii="STIX" w:hAnsi="STIX" w:cs="STIX"/>
          <w:i/>
          <w:sz w:val="24"/>
          <w:szCs w:val="24"/>
        </w:rPr>
        <w:sectPr w:rsidR="006948D1" w:rsidSect="006838AF">
          <w:footerReference w:type="default" r:id="rId10"/>
          <w:pgSz w:w="12240" w:h="15840"/>
          <w:pgMar w:top="1440" w:right="1440" w:bottom="1440" w:left="1440" w:header="720" w:footer="720" w:gutter="0"/>
          <w:cols w:space="720"/>
          <w:docGrid w:linePitch="360"/>
        </w:sectPr>
      </w:pPr>
      <w:r w:rsidRPr="00BF660B">
        <w:rPr>
          <w:rFonts w:ascii="STIX" w:hAnsi="STIX" w:cs="STIX"/>
          <w:i/>
          <w:sz w:val="24"/>
          <w:szCs w:val="24"/>
        </w:rPr>
        <w:t>Problem continued on next page...</w:t>
      </w:r>
    </w:p>
    <w:p w:rsidR="006948D1" w:rsidRPr="006948D1" w:rsidRDefault="006948D1" w:rsidP="006948D1">
      <w:pPr>
        <w:pStyle w:val="Default"/>
        <w:rPr>
          <w:b/>
          <w:i/>
        </w:rPr>
      </w:pPr>
      <w:r w:rsidRPr="006948D1">
        <w:rPr>
          <w:b/>
          <w:i/>
        </w:rPr>
        <w:t>Problem 13.11</w:t>
      </w:r>
    </w:p>
    <w:p w:rsidR="006948D1" w:rsidRPr="00961F53" w:rsidRDefault="006948D1" w:rsidP="006948D1">
      <w:pPr>
        <w:autoSpaceDE w:val="0"/>
        <w:autoSpaceDN w:val="0"/>
        <w:adjustRightInd w:val="0"/>
        <w:spacing w:after="0" w:line="240" w:lineRule="auto"/>
        <w:rPr>
          <w:rFonts w:ascii="STIX" w:hAnsi="STIX" w:cs="STIX"/>
          <w:color w:val="000000"/>
          <w:sz w:val="24"/>
          <w:szCs w:val="24"/>
        </w:rPr>
      </w:pPr>
    </w:p>
    <w:p w:rsidR="006948D1" w:rsidRPr="00961F53" w:rsidRDefault="006948D1" w:rsidP="006948D1">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A system of two homogeneous linear ordinary differ</w:t>
      </w:r>
      <w:r w:rsidRPr="00961F53">
        <w:rPr>
          <w:rFonts w:ascii="STIX" w:hAnsi="STIX" w:cs="STIX"/>
          <w:color w:val="211D1E"/>
          <w:sz w:val="24"/>
          <w:szCs w:val="18"/>
        </w:rPr>
        <w:softHyphen/>
        <w:t xml:space="preserve">ential equations with constant coefficients can be written as </w:t>
      </w:r>
    </w:p>
    <w:p w:rsidR="006948D1" w:rsidRPr="00961F53" w:rsidRDefault="006948D1" w:rsidP="006948D1">
      <w:pPr>
        <w:autoSpaceDE w:val="0"/>
        <w:autoSpaceDN w:val="0"/>
        <w:adjustRightInd w:val="0"/>
        <w:spacing w:before="120" w:after="120" w:line="180" w:lineRule="atLeast"/>
        <w:ind w:left="240"/>
        <w:jc w:val="center"/>
        <w:rPr>
          <w:rFonts w:ascii="STIX" w:hAnsi="STIX" w:cs="STIX"/>
          <w:color w:val="211D1E"/>
          <w:sz w:val="24"/>
          <w:szCs w:val="18"/>
        </w:rPr>
      </w:pPr>
      <w:r w:rsidRPr="00961F53">
        <w:rPr>
          <w:rFonts w:ascii="STIX" w:hAnsi="STIX" w:cs="STIX"/>
          <w:i/>
          <w:iCs/>
          <w:color w:val="211D1E"/>
          <w:position w:val="-56"/>
          <w:sz w:val="24"/>
          <w:szCs w:val="18"/>
        </w:rPr>
        <w:object w:dxaOrig="4740" w:dyaOrig="1240">
          <v:shape id="_x0000_i2581" type="#_x0000_t75" style="width:237pt;height:62.25pt" o:ole="">
            <v:imagedata r:id="rId11" o:title=""/>
          </v:shape>
          <o:OLEObject Type="Embed" ProgID="Equation.DSMT4" ShapeID="_x0000_i2581" DrawAspect="Content" ObjectID="_1551350670" r:id="rId12"/>
        </w:object>
      </w:r>
      <w:r>
        <w:rPr>
          <w:rFonts w:ascii="STIX" w:hAnsi="STIX" w:cs="STIX"/>
          <w:i/>
          <w:iCs/>
          <w:color w:val="211D1E"/>
          <w:sz w:val="24"/>
          <w:szCs w:val="18"/>
        </w:rPr>
        <w:t xml:space="preserve"> </w:t>
      </w:r>
    </w:p>
    <w:p w:rsidR="006948D1" w:rsidRPr="00961F53" w:rsidRDefault="006948D1" w:rsidP="006948D1">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 xml:space="preserve">If you have taken a course in differential equations, you know that the solutions for such equations have the form </w:t>
      </w:r>
    </w:p>
    <w:p w:rsidR="006948D1" w:rsidRPr="00961F53" w:rsidRDefault="006948D1" w:rsidP="006948D1">
      <w:pPr>
        <w:autoSpaceDE w:val="0"/>
        <w:autoSpaceDN w:val="0"/>
        <w:adjustRightInd w:val="0"/>
        <w:spacing w:before="120" w:after="100" w:line="180" w:lineRule="atLeast"/>
        <w:ind w:left="240"/>
        <w:jc w:val="center"/>
        <w:rPr>
          <w:rFonts w:ascii="STIX" w:hAnsi="STIX" w:cs="STIX"/>
          <w:color w:val="211D1E"/>
          <w:sz w:val="24"/>
          <w:szCs w:val="11"/>
        </w:rPr>
      </w:pPr>
      <w:r w:rsidRPr="00961F53">
        <w:rPr>
          <w:rFonts w:ascii="STIX" w:hAnsi="STIX" w:cs="STIX"/>
          <w:i/>
          <w:iCs/>
          <w:color w:val="211D1E"/>
          <w:sz w:val="24"/>
          <w:szCs w:val="18"/>
        </w:rPr>
        <w:t>y</w:t>
      </w:r>
      <w:r w:rsidRPr="00961F53">
        <w:rPr>
          <w:rFonts w:ascii="STIX" w:hAnsi="STIX" w:cs="STIX"/>
          <w:i/>
          <w:iCs/>
          <w:color w:val="211D1E"/>
          <w:sz w:val="32"/>
          <w:vertAlign w:val="subscript"/>
        </w:rPr>
        <w:t xml:space="preserve">i </w:t>
      </w:r>
      <w:r w:rsidRPr="00961F53">
        <w:rPr>
          <w:rFonts w:ascii="STIX" w:hAnsi="STIX" w:cs="STIX"/>
          <w:color w:val="211D1E"/>
          <w:sz w:val="24"/>
          <w:szCs w:val="18"/>
        </w:rPr>
        <w:t xml:space="preserve">= </w:t>
      </w:r>
      <w:r w:rsidRPr="00961F53">
        <w:rPr>
          <w:rFonts w:ascii="STIX" w:hAnsi="STIX" w:cs="STIX"/>
          <w:i/>
          <w:iCs/>
          <w:color w:val="211D1E"/>
          <w:sz w:val="24"/>
          <w:szCs w:val="18"/>
        </w:rPr>
        <w:t>c</w:t>
      </w:r>
      <w:r w:rsidRPr="00961F53">
        <w:rPr>
          <w:rFonts w:ascii="STIX" w:hAnsi="STIX" w:cs="STIX"/>
          <w:i/>
          <w:iCs/>
          <w:color w:val="211D1E"/>
          <w:sz w:val="32"/>
          <w:vertAlign w:val="subscript"/>
        </w:rPr>
        <w:t xml:space="preserve">i </w:t>
      </w:r>
      <w:r w:rsidRPr="00961F53">
        <w:rPr>
          <w:rFonts w:ascii="STIX" w:hAnsi="STIX" w:cs="STIX"/>
          <w:i/>
          <w:iCs/>
          <w:color w:val="211D1E"/>
          <w:sz w:val="24"/>
          <w:szCs w:val="18"/>
        </w:rPr>
        <w:t>e</w:t>
      </w:r>
      <w:r w:rsidRPr="00961F53">
        <w:rPr>
          <w:rFonts w:ascii="STIX" w:hAnsi="STIX" w:cs="STIX"/>
          <w:color w:val="211D1E"/>
          <w:sz w:val="32"/>
          <w:vertAlign w:val="superscript"/>
        </w:rPr>
        <w:t>λ</w:t>
      </w:r>
      <w:r w:rsidRPr="00961F53">
        <w:rPr>
          <w:rFonts w:ascii="STIX" w:hAnsi="STIX" w:cs="STIX"/>
          <w:i/>
          <w:iCs/>
          <w:color w:val="211D1E"/>
          <w:sz w:val="32"/>
          <w:vertAlign w:val="superscript"/>
        </w:rPr>
        <w:t>t</w:t>
      </w:r>
      <w:r w:rsidRPr="00961F53">
        <w:rPr>
          <w:rFonts w:ascii="STIX" w:hAnsi="STIX" w:cs="STIX"/>
          <w:i/>
          <w:iCs/>
          <w:color w:val="211D1E"/>
          <w:sz w:val="24"/>
        </w:rPr>
        <w:t xml:space="preserve"> </w:t>
      </w:r>
    </w:p>
    <w:p w:rsidR="006948D1" w:rsidRDefault="006948D1" w:rsidP="006948D1">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 xml:space="preserve">where </w:t>
      </w:r>
      <w:r w:rsidRPr="00961F53">
        <w:rPr>
          <w:rFonts w:ascii="STIX" w:hAnsi="STIX" w:cs="STIX"/>
          <w:i/>
          <w:iCs/>
          <w:color w:val="211D1E"/>
          <w:sz w:val="24"/>
          <w:szCs w:val="18"/>
        </w:rPr>
        <w:t xml:space="preserve">c </w:t>
      </w:r>
      <w:r w:rsidRPr="00961F53">
        <w:rPr>
          <w:rFonts w:ascii="STIX" w:hAnsi="STIX" w:cs="STIX"/>
          <w:color w:val="211D1E"/>
          <w:sz w:val="24"/>
          <w:szCs w:val="18"/>
        </w:rPr>
        <w:t>and λ are constants to be determined. Substitut</w:t>
      </w:r>
      <w:r w:rsidRPr="00961F53">
        <w:rPr>
          <w:rFonts w:ascii="STIX" w:hAnsi="STIX" w:cs="STIX"/>
          <w:color w:val="211D1E"/>
          <w:sz w:val="24"/>
          <w:szCs w:val="18"/>
        </w:rPr>
        <w:softHyphen/>
        <w:t>ing this solution and its derivative into the original equa</w:t>
      </w:r>
      <w:r w:rsidRPr="00961F53">
        <w:rPr>
          <w:rFonts w:ascii="STIX" w:hAnsi="STIX" w:cs="STIX"/>
          <w:color w:val="211D1E"/>
          <w:sz w:val="24"/>
          <w:szCs w:val="18"/>
        </w:rPr>
        <w:softHyphen/>
        <w:t xml:space="preserve">tions converts the system into an eigenvalue problem. The resulting eigenvalues and eigenvectors can then be used to derive the general solution to the differential equations. For example, for the two-equation case, the general solution can be written in terms of vectors as </w:t>
      </w:r>
    </w:p>
    <w:p w:rsidR="006948D1" w:rsidRPr="00961F53" w:rsidRDefault="006948D1" w:rsidP="006948D1">
      <w:pPr>
        <w:autoSpaceDE w:val="0"/>
        <w:autoSpaceDN w:val="0"/>
        <w:adjustRightInd w:val="0"/>
        <w:spacing w:after="0" w:line="180" w:lineRule="atLeast"/>
        <w:rPr>
          <w:rFonts w:ascii="STIX" w:hAnsi="STIX" w:cs="STIX"/>
          <w:color w:val="211D1E"/>
          <w:sz w:val="24"/>
          <w:szCs w:val="18"/>
        </w:rPr>
      </w:pPr>
    </w:p>
    <w:p w:rsidR="006948D1" w:rsidRDefault="006948D1" w:rsidP="006948D1">
      <w:pPr>
        <w:autoSpaceDE w:val="0"/>
        <w:autoSpaceDN w:val="0"/>
        <w:adjustRightInd w:val="0"/>
        <w:spacing w:after="0" w:line="180" w:lineRule="atLeast"/>
        <w:jc w:val="center"/>
        <w:rPr>
          <w:rFonts w:ascii="STIX" w:hAnsi="STIX" w:cs="STIX"/>
          <w:color w:val="211D1E"/>
          <w:sz w:val="24"/>
          <w:szCs w:val="18"/>
        </w:rPr>
      </w:pPr>
      <w:r w:rsidRPr="00961F53">
        <w:rPr>
          <w:rFonts w:ascii="STIX" w:hAnsi="STIX" w:cs="STIX"/>
          <w:color w:val="211D1E"/>
          <w:position w:val="-18"/>
          <w:sz w:val="24"/>
          <w:szCs w:val="18"/>
        </w:rPr>
        <w:object w:dxaOrig="2920" w:dyaOrig="480">
          <v:shape id="_x0000_i2582" type="#_x0000_t75" style="width:146.25pt;height:24pt" o:ole="">
            <v:imagedata r:id="rId13" o:title=""/>
          </v:shape>
          <o:OLEObject Type="Embed" ProgID="Equation.DSMT4" ShapeID="_x0000_i2582" DrawAspect="Content" ObjectID="_1551350671" r:id="rId14"/>
        </w:object>
      </w:r>
      <w:r>
        <w:rPr>
          <w:rFonts w:ascii="STIX" w:hAnsi="STIX" w:cs="STIX"/>
          <w:color w:val="211D1E"/>
          <w:sz w:val="24"/>
          <w:szCs w:val="18"/>
        </w:rPr>
        <w:t xml:space="preserve"> </w:t>
      </w:r>
    </w:p>
    <w:p w:rsidR="006948D1" w:rsidRDefault="006948D1" w:rsidP="006948D1">
      <w:pPr>
        <w:autoSpaceDE w:val="0"/>
        <w:autoSpaceDN w:val="0"/>
        <w:adjustRightInd w:val="0"/>
        <w:spacing w:after="0" w:line="180" w:lineRule="atLeast"/>
        <w:rPr>
          <w:rFonts w:ascii="STIX" w:hAnsi="STIX" w:cs="STIX"/>
          <w:color w:val="211D1E"/>
          <w:sz w:val="24"/>
          <w:szCs w:val="18"/>
        </w:rPr>
      </w:pPr>
    </w:p>
    <w:p w:rsidR="006948D1" w:rsidRDefault="006948D1" w:rsidP="006948D1">
      <w:pPr>
        <w:autoSpaceDE w:val="0"/>
        <w:autoSpaceDN w:val="0"/>
        <w:adjustRightInd w:val="0"/>
        <w:spacing w:after="0" w:line="180" w:lineRule="atLeast"/>
        <w:rPr>
          <w:rFonts w:ascii="STIX" w:hAnsi="STIX" w:cs="STIX"/>
          <w:color w:val="211D1E"/>
          <w:sz w:val="24"/>
          <w:szCs w:val="18"/>
        </w:rPr>
      </w:pPr>
      <w:r w:rsidRPr="00961F53">
        <w:rPr>
          <w:rFonts w:ascii="STIX" w:hAnsi="STIX" w:cs="STIX"/>
          <w:color w:val="211D1E"/>
          <w:sz w:val="24"/>
          <w:szCs w:val="18"/>
        </w:rPr>
        <w:t>where {</w:t>
      </w:r>
      <w:r w:rsidRPr="00961F53">
        <w:rPr>
          <w:rFonts w:ascii="STIX" w:hAnsi="STIX" w:cs="STIX"/>
          <w:i/>
          <w:iCs/>
          <w:color w:val="211D1E"/>
          <w:sz w:val="24"/>
          <w:szCs w:val="18"/>
        </w:rPr>
        <w:t>υ</w:t>
      </w:r>
      <w:r w:rsidRPr="00961F53">
        <w:rPr>
          <w:rFonts w:ascii="STIX" w:hAnsi="STIX" w:cs="STIX"/>
          <w:i/>
          <w:iCs/>
          <w:color w:val="211D1E"/>
          <w:sz w:val="32"/>
          <w:vertAlign w:val="subscript"/>
        </w:rPr>
        <w:t>i</w:t>
      </w:r>
      <w:r w:rsidRPr="00961F53">
        <w:rPr>
          <w:rFonts w:ascii="STIX" w:hAnsi="STIX" w:cs="STIX"/>
          <w:color w:val="211D1E"/>
          <w:sz w:val="24"/>
          <w:szCs w:val="18"/>
        </w:rPr>
        <w:t xml:space="preserve">} = the eigenvector corresponding to the </w:t>
      </w:r>
      <w:r w:rsidRPr="00961F53">
        <w:rPr>
          <w:rFonts w:ascii="STIX" w:hAnsi="STIX" w:cs="STIX"/>
          <w:i/>
          <w:iCs/>
          <w:color w:val="211D1E"/>
          <w:sz w:val="24"/>
          <w:szCs w:val="18"/>
        </w:rPr>
        <w:t>i</w:t>
      </w:r>
      <w:r w:rsidRPr="00961F53">
        <w:rPr>
          <w:rFonts w:ascii="STIX" w:hAnsi="STIX" w:cs="STIX"/>
          <w:color w:val="211D1E"/>
          <w:sz w:val="24"/>
          <w:szCs w:val="18"/>
        </w:rPr>
        <w:t>th eigen</w:t>
      </w:r>
      <w:r w:rsidRPr="00961F53">
        <w:rPr>
          <w:rFonts w:ascii="STIX" w:hAnsi="STIX" w:cs="STIX"/>
          <w:color w:val="211D1E"/>
          <w:sz w:val="24"/>
          <w:szCs w:val="18"/>
        </w:rPr>
        <w:softHyphen/>
        <w:t>value (λ</w:t>
      </w:r>
      <w:r w:rsidRPr="00961F53">
        <w:rPr>
          <w:rFonts w:ascii="STIX" w:hAnsi="STIX" w:cs="STIX"/>
          <w:i/>
          <w:iCs/>
          <w:color w:val="211D1E"/>
          <w:sz w:val="32"/>
          <w:vertAlign w:val="subscript"/>
        </w:rPr>
        <w:t>i</w:t>
      </w:r>
      <w:r w:rsidRPr="00961F53">
        <w:rPr>
          <w:rFonts w:ascii="STIX" w:hAnsi="STIX" w:cs="STIX"/>
          <w:color w:val="211D1E"/>
          <w:sz w:val="24"/>
          <w:szCs w:val="18"/>
        </w:rPr>
        <w:t xml:space="preserve">) and the </w:t>
      </w:r>
      <w:r w:rsidRPr="00961F53">
        <w:rPr>
          <w:rFonts w:ascii="STIX" w:hAnsi="STIX" w:cs="STIX"/>
          <w:i/>
          <w:iCs/>
          <w:color w:val="211D1E"/>
          <w:sz w:val="24"/>
          <w:szCs w:val="18"/>
        </w:rPr>
        <w:t>c</w:t>
      </w:r>
      <w:r w:rsidRPr="00961F53">
        <w:rPr>
          <w:rFonts w:ascii="STIX" w:hAnsi="STIX" w:cs="STIX"/>
          <w:color w:val="211D1E"/>
          <w:sz w:val="24"/>
          <w:szCs w:val="18"/>
        </w:rPr>
        <w:t xml:space="preserve">’s are unknown coefficients that can be determined with the initial conditions. </w:t>
      </w:r>
    </w:p>
    <w:p w:rsidR="006948D1" w:rsidRPr="00961F53" w:rsidRDefault="006948D1" w:rsidP="006948D1">
      <w:pPr>
        <w:autoSpaceDE w:val="0"/>
        <w:autoSpaceDN w:val="0"/>
        <w:adjustRightInd w:val="0"/>
        <w:spacing w:after="0" w:line="180" w:lineRule="atLeast"/>
        <w:rPr>
          <w:rFonts w:ascii="STIX" w:hAnsi="STIX" w:cs="STIX"/>
          <w:color w:val="211D1E"/>
          <w:sz w:val="24"/>
          <w:szCs w:val="18"/>
        </w:rPr>
      </w:pPr>
    </w:p>
    <w:p w:rsidR="006948D1" w:rsidRPr="00961F53" w:rsidRDefault="006948D1" w:rsidP="006948D1">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(a) </w:t>
      </w:r>
      <w:r w:rsidRPr="00961F53">
        <w:rPr>
          <w:rFonts w:ascii="STIX" w:hAnsi="STIX" w:cs="STIX"/>
          <w:color w:val="211D1E"/>
          <w:sz w:val="24"/>
          <w:szCs w:val="18"/>
        </w:rPr>
        <w:t xml:space="preserve">Convert the system into an eigenvalue problem. </w:t>
      </w:r>
    </w:p>
    <w:p w:rsidR="006948D1" w:rsidRPr="00961F53" w:rsidRDefault="006948D1" w:rsidP="006948D1">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(b) </w:t>
      </w:r>
      <w:r w:rsidRPr="00961F53">
        <w:rPr>
          <w:rFonts w:ascii="STIX" w:hAnsi="STIX" w:cs="STIX"/>
          <w:color w:val="211D1E"/>
          <w:sz w:val="24"/>
          <w:szCs w:val="18"/>
        </w:rPr>
        <w:t xml:space="preserve">Use MATLAB to solve for the eigenvalues and eigenvectors. </w:t>
      </w:r>
    </w:p>
    <w:p w:rsidR="006948D1" w:rsidRPr="00961F53" w:rsidRDefault="006948D1" w:rsidP="006948D1">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(c) </w:t>
      </w:r>
      <w:r w:rsidRPr="00961F53">
        <w:rPr>
          <w:rFonts w:ascii="STIX" w:hAnsi="STIX" w:cs="STIX"/>
          <w:color w:val="211D1E"/>
          <w:sz w:val="24"/>
          <w:szCs w:val="18"/>
        </w:rPr>
        <w:t xml:space="preserve">Employ the results of </w:t>
      </w:r>
      <w:r w:rsidRPr="00961F53">
        <w:rPr>
          <w:rFonts w:ascii="STIX" w:hAnsi="STIX" w:cs="STIX"/>
          <w:b/>
          <w:bCs/>
          <w:color w:val="211D1E"/>
          <w:sz w:val="24"/>
          <w:szCs w:val="18"/>
        </w:rPr>
        <w:t xml:space="preserve">(b) </w:t>
      </w:r>
      <w:r w:rsidRPr="00961F53">
        <w:rPr>
          <w:rFonts w:ascii="STIX" w:hAnsi="STIX" w:cs="STIX"/>
          <w:color w:val="211D1E"/>
          <w:sz w:val="24"/>
          <w:szCs w:val="18"/>
        </w:rPr>
        <w:t xml:space="preserve">and the initial conditions to determine the general solution. </w:t>
      </w:r>
    </w:p>
    <w:p w:rsidR="006948D1" w:rsidRPr="00961F53" w:rsidRDefault="006948D1" w:rsidP="006948D1">
      <w:pPr>
        <w:autoSpaceDE w:val="0"/>
        <w:autoSpaceDN w:val="0"/>
        <w:adjustRightInd w:val="0"/>
        <w:spacing w:after="0" w:line="240" w:lineRule="auto"/>
        <w:rPr>
          <w:rFonts w:ascii="STIX" w:hAnsi="STIX" w:cs="STIX"/>
          <w:color w:val="211D1E"/>
          <w:sz w:val="24"/>
          <w:szCs w:val="18"/>
        </w:rPr>
      </w:pPr>
      <w:r w:rsidRPr="00961F53">
        <w:rPr>
          <w:rFonts w:ascii="STIX" w:hAnsi="STIX" w:cs="STIX"/>
          <w:b/>
          <w:bCs/>
          <w:color w:val="211D1E"/>
          <w:sz w:val="24"/>
          <w:szCs w:val="18"/>
        </w:rPr>
        <w:t xml:space="preserve">(d) </w:t>
      </w:r>
      <w:r w:rsidRPr="00961F53">
        <w:rPr>
          <w:rFonts w:ascii="STIX" w:hAnsi="STIX" w:cs="STIX"/>
          <w:color w:val="211D1E"/>
          <w:sz w:val="24"/>
          <w:szCs w:val="18"/>
        </w:rPr>
        <w:t xml:space="preserve">Develop a MATLAB plot of the solution for </w:t>
      </w:r>
      <w:r w:rsidRPr="00961F53">
        <w:rPr>
          <w:rFonts w:ascii="STIX" w:hAnsi="STIX" w:cs="STIX"/>
          <w:i/>
          <w:iCs/>
          <w:color w:val="211D1E"/>
          <w:sz w:val="24"/>
          <w:szCs w:val="18"/>
        </w:rPr>
        <w:t xml:space="preserve">t </w:t>
      </w:r>
      <w:r w:rsidRPr="00961F53">
        <w:rPr>
          <w:rFonts w:ascii="STIX" w:hAnsi="STIX" w:cs="STIX"/>
          <w:color w:val="211D1E"/>
          <w:sz w:val="24"/>
          <w:szCs w:val="18"/>
        </w:rPr>
        <w:t xml:space="preserve">= 0 to 1. </w:t>
      </w:r>
    </w:p>
    <w:p w:rsidR="006948D1" w:rsidRPr="00961F53" w:rsidRDefault="006948D1" w:rsidP="006948D1">
      <w:pPr>
        <w:autoSpaceDE w:val="0"/>
        <w:autoSpaceDN w:val="0"/>
        <w:adjustRightInd w:val="0"/>
        <w:spacing w:after="0" w:line="240" w:lineRule="auto"/>
        <w:rPr>
          <w:rFonts w:ascii="STIX" w:hAnsi="STIX" w:cs="STIX"/>
          <w:sz w:val="24"/>
        </w:rPr>
      </w:pPr>
    </w:p>
    <w:p w:rsidR="006948D1" w:rsidRPr="00040ABB" w:rsidRDefault="006948D1" w:rsidP="00040ABB">
      <w:pPr>
        <w:autoSpaceDE w:val="0"/>
        <w:autoSpaceDN w:val="0"/>
        <w:adjustRightInd w:val="0"/>
        <w:spacing w:after="0" w:line="240" w:lineRule="auto"/>
        <w:rPr>
          <w:rFonts w:ascii="STIX" w:hAnsi="STIX" w:cs="STIX"/>
          <w:sz w:val="24"/>
          <w:szCs w:val="24"/>
        </w:rPr>
      </w:pPr>
    </w:p>
    <w:sectPr w:rsidR="006948D1" w:rsidRPr="00040ABB"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2017-03-18T19:24:00Z</dcterms:created>
  <dcterms:modified xsi:type="dcterms:W3CDTF">2017-03-18T19:27:00Z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