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C4841" w:rsidRDefault="00512B6C" w:rsidP="005C4841">
      <w:pPr>
        <w:pStyle w:val="Default"/>
        <w:rPr>
          <w:b/>
        </w:rPr>
      </w:pPr>
      <w:r w:rsidRPr="005C4841">
        <w:rPr>
          <w:b/>
        </w:rPr>
        <w:t xml:space="preserve">Problem </w:t>
      </w:r>
      <w:r w:rsidR="005C4841">
        <w:rPr>
          <w:b/>
        </w:rPr>
        <w:t>1</w:t>
      </w:r>
      <w:r w:rsidR="00C93957">
        <w:rPr>
          <w:b/>
        </w:rPr>
        <w:t>4.1</w:t>
      </w:r>
    </w:p>
    <w:p w:rsidR="00430224" w:rsidRPr="00430224" w:rsidRDefault="00430224" w:rsidP="00430224">
      <w:pPr>
        <w:autoSpaceDE w:val="0"/>
        <w:autoSpaceDN w:val="0"/>
        <w:adjustRightInd w:val="0"/>
        <w:spacing w:before="240" w:after="120" w:line="220" w:lineRule="atLeast"/>
        <w:rPr>
          <w:rFonts w:ascii="STIX" w:hAnsi="STIX" w:cs="STIX"/>
          <w:color w:val="211D1E"/>
          <w:sz w:val="24"/>
          <w:szCs w:val="24"/>
        </w:rPr>
      </w:pPr>
      <w:r w:rsidRPr="00430224">
        <w:rPr>
          <w:rFonts w:ascii="STIX" w:hAnsi="STIX" w:cs="STIX"/>
          <w:color w:val="211D1E"/>
          <w:sz w:val="24"/>
          <w:szCs w:val="24"/>
        </w:rPr>
        <w:t>Given the data</w:t>
      </w:r>
    </w:p>
    <w:tbl>
      <w:tblPr>
        <w:tblStyle w:val="TableGrid"/>
        <w:tblW w:w="0" w:type="auto"/>
        <w:tblInd w:w="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7"/>
        <w:gridCol w:w="1867"/>
        <w:gridCol w:w="1867"/>
        <w:gridCol w:w="1867"/>
        <w:gridCol w:w="1868"/>
      </w:tblGrid>
      <w:tr w:rsidR="00430224" w:rsidRPr="00430224" w:rsidTr="00430224">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0.90</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1.42</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1.30</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1.55</w:t>
            </w:r>
          </w:p>
        </w:tc>
        <w:tc>
          <w:tcPr>
            <w:tcW w:w="1916"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1.63</w:t>
            </w:r>
          </w:p>
        </w:tc>
      </w:tr>
      <w:tr w:rsidR="00430224" w:rsidRPr="00430224" w:rsidTr="00430224">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1.32</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1.35</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1.47</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1.95</w:t>
            </w:r>
          </w:p>
        </w:tc>
        <w:tc>
          <w:tcPr>
            <w:tcW w:w="1916"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1.66</w:t>
            </w:r>
          </w:p>
        </w:tc>
      </w:tr>
      <w:tr w:rsidR="00430224" w:rsidRPr="00430224" w:rsidTr="00430224">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1.96</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1.47</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1.92</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1.35</w:t>
            </w:r>
          </w:p>
        </w:tc>
        <w:tc>
          <w:tcPr>
            <w:tcW w:w="1916"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1.05</w:t>
            </w:r>
          </w:p>
        </w:tc>
      </w:tr>
      <w:tr w:rsidR="00430224" w:rsidRPr="00430224" w:rsidTr="00430224">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1.85</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1.74</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1.65</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1.78</w:t>
            </w:r>
          </w:p>
        </w:tc>
        <w:tc>
          <w:tcPr>
            <w:tcW w:w="1916"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1.71</w:t>
            </w:r>
          </w:p>
        </w:tc>
      </w:tr>
      <w:tr w:rsidR="00430224" w:rsidRPr="00430224" w:rsidTr="00430224">
        <w:tc>
          <w:tcPr>
            <w:tcW w:w="1915" w:type="dxa"/>
          </w:tcPr>
          <w:p w:rsidR="00430224" w:rsidRPr="00430224" w:rsidRDefault="00430224" w:rsidP="00805794">
            <w:pPr>
              <w:autoSpaceDE w:val="0"/>
              <w:autoSpaceDN w:val="0"/>
              <w:adjustRightInd w:val="0"/>
              <w:spacing w:after="80" w:line="180" w:lineRule="atLeast"/>
              <w:rPr>
                <w:rFonts w:ascii="STIX" w:hAnsi="STIX" w:cs="STIX"/>
                <w:color w:val="211D1E"/>
                <w:sz w:val="24"/>
                <w:szCs w:val="24"/>
              </w:rPr>
            </w:pPr>
            <w:r w:rsidRPr="00430224">
              <w:rPr>
                <w:rFonts w:ascii="STIX" w:hAnsi="STIX" w:cs="STIX"/>
                <w:color w:val="211D1E"/>
                <w:sz w:val="24"/>
                <w:szCs w:val="24"/>
              </w:rPr>
              <w:t>2.29</w:t>
            </w:r>
          </w:p>
        </w:tc>
        <w:tc>
          <w:tcPr>
            <w:tcW w:w="1915" w:type="dxa"/>
          </w:tcPr>
          <w:p w:rsidR="00430224" w:rsidRPr="00430224" w:rsidRDefault="00430224" w:rsidP="00805794">
            <w:pPr>
              <w:autoSpaceDE w:val="0"/>
              <w:autoSpaceDN w:val="0"/>
              <w:adjustRightInd w:val="0"/>
              <w:spacing w:after="80" w:line="180" w:lineRule="atLeast"/>
              <w:rPr>
                <w:rFonts w:ascii="STIX" w:hAnsi="STIX" w:cs="STIX"/>
                <w:color w:val="211D1E"/>
                <w:sz w:val="24"/>
                <w:szCs w:val="24"/>
              </w:rPr>
            </w:pPr>
            <w:r w:rsidRPr="00430224">
              <w:rPr>
                <w:rFonts w:ascii="STIX" w:hAnsi="STIX" w:cs="STIX"/>
                <w:color w:val="211D1E"/>
                <w:sz w:val="24"/>
                <w:szCs w:val="24"/>
              </w:rPr>
              <w:t>1.82</w:t>
            </w:r>
          </w:p>
        </w:tc>
        <w:tc>
          <w:tcPr>
            <w:tcW w:w="1915" w:type="dxa"/>
          </w:tcPr>
          <w:p w:rsidR="00430224" w:rsidRPr="00430224" w:rsidRDefault="00430224" w:rsidP="00805794">
            <w:pPr>
              <w:autoSpaceDE w:val="0"/>
              <w:autoSpaceDN w:val="0"/>
              <w:adjustRightInd w:val="0"/>
              <w:spacing w:after="80" w:line="180" w:lineRule="atLeast"/>
              <w:rPr>
                <w:rFonts w:ascii="STIX" w:hAnsi="STIX" w:cs="STIX"/>
                <w:color w:val="211D1E"/>
                <w:sz w:val="24"/>
                <w:szCs w:val="24"/>
              </w:rPr>
            </w:pPr>
            <w:r w:rsidRPr="00430224">
              <w:rPr>
                <w:rFonts w:ascii="STIX" w:hAnsi="STIX" w:cs="STIX"/>
                <w:color w:val="211D1E"/>
                <w:sz w:val="24"/>
                <w:szCs w:val="24"/>
              </w:rPr>
              <w:t>2.06</w:t>
            </w:r>
          </w:p>
        </w:tc>
        <w:tc>
          <w:tcPr>
            <w:tcW w:w="1915" w:type="dxa"/>
          </w:tcPr>
          <w:p w:rsidR="00430224" w:rsidRPr="00430224" w:rsidRDefault="00430224" w:rsidP="00805794">
            <w:pPr>
              <w:autoSpaceDE w:val="0"/>
              <w:autoSpaceDN w:val="0"/>
              <w:adjustRightInd w:val="0"/>
              <w:spacing w:after="80" w:line="180" w:lineRule="atLeast"/>
              <w:rPr>
                <w:rFonts w:ascii="STIX" w:hAnsi="STIX" w:cs="STIX"/>
                <w:color w:val="211D1E"/>
                <w:sz w:val="24"/>
                <w:szCs w:val="24"/>
              </w:rPr>
            </w:pPr>
            <w:r w:rsidRPr="00430224">
              <w:rPr>
                <w:rFonts w:ascii="STIX" w:hAnsi="STIX" w:cs="STIX"/>
                <w:color w:val="211D1E"/>
                <w:sz w:val="24"/>
                <w:szCs w:val="24"/>
              </w:rPr>
              <w:t>2.14</w:t>
            </w:r>
          </w:p>
        </w:tc>
        <w:tc>
          <w:tcPr>
            <w:tcW w:w="1916" w:type="dxa"/>
          </w:tcPr>
          <w:p w:rsidR="00430224" w:rsidRPr="00430224" w:rsidRDefault="00430224" w:rsidP="00805794">
            <w:pPr>
              <w:autoSpaceDE w:val="0"/>
              <w:autoSpaceDN w:val="0"/>
              <w:adjustRightInd w:val="0"/>
              <w:spacing w:after="80" w:line="180" w:lineRule="atLeast"/>
              <w:rPr>
                <w:rFonts w:ascii="STIX" w:hAnsi="STIX" w:cs="STIX"/>
                <w:color w:val="211D1E"/>
                <w:sz w:val="24"/>
                <w:szCs w:val="24"/>
              </w:rPr>
            </w:pPr>
            <w:r w:rsidRPr="00430224">
              <w:rPr>
                <w:rFonts w:ascii="STIX" w:hAnsi="STIX" w:cs="STIX"/>
                <w:color w:val="211D1E"/>
                <w:sz w:val="24"/>
                <w:szCs w:val="24"/>
              </w:rPr>
              <w:t>1.27</w:t>
            </w:r>
          </w:p>
        </w:tc>
      </w:tr>
    </w:tbl>
    <w:p w:rsidR="00430224" w:rsidRDefault="00430224" w:rsidP="00430224">
      <w:pPr>
        <w:tabs>
          <w:tab w:val="left" w:pos="8190"/>
        </w:tabs>
        <w:rPr>
          <w:rFonts w:ascii="STIX" w:hAnsi="STIX" w:cs="STIX"/>
          <w:color w:val="211D1E"/>
          <w:sz w:val="24"/>
          <w:szCs w:val="24"/>
        </w:rPr>
      </w:pPr>
    </w:p>
    <w:p w:rsidR="00430224" w:rsidRDefault="00430224" w:rsidP="00430224">
      <w:pPr>
        <w:tabs>
          <w:tab w:val="left" w:pos="8190"/>
        </w:tabs>
        <w:rPr>
          <w:rFonts w:ascii="STIX" w:hAnsi="STIX" w:cs="STIX"/>
          <w:color w:val="211D1E"/>
          <w:sz w:val="24"/>
          <w:szCs w:val="24"/>
        </w:rPr>
      </w:pPr>
      <w:r w:rsidRPr="00430224">
        <w:rPr>
          <w:rFonts w:ascii="STIX" w:hAnsi="STIX" w:cs="STIX"/>
          <w:color w:val="211D1E"/>
          <w:sz w:val="24"/>
          <w:szCs w:val="24"/>
        </w:rPr>
        <w:t xml:space="preserve">Determine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(a) </w:t>
      </w:r>
      <w:r w:rsidRPr="00430224">
        <w:rPr>
          <w:rFonts w:ascii="STIX" w:hAnsi="STIX" w:cs="STIX"/>
          <w:color w:val="211D1E"/>
          <w:sz w:val="24"/>
          <w:szCs w:val="24"/>
        </w:rPr>
        <w:t xml:space="preserve">the mean,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(b) </w:t>
      </w:r>
      <w:r w:rsidRPr="00430224">
        <w:rPr>
          <w:rFonts w:ascii="STIX" w:hAnsi="STIX" w:cs="STIX"/>
          <w:color w:val="211D1E"/>
          <w:sz w:val="24"/>
          <w:szCs w:val="24"/>
        </w:rPr>
        <w:t xml:space="preserve">median,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(c) </w:t>
      </w:r>
      <w:r w:rsidRPr="00430224">
        <w:rPr>
          <w:rFonts w:ascii="STIX" w:hAnsi="STIX" w:cs="STIX"/>
          <w:color w:val="211D1E"/>
          <w:sz w:val="24"/>
          <w:szCs w:val="24"/>
        </w:rPr>
        <w:t xml:space="preserve">mode,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(d) </w:t>
      </w:r>
      <w:r w:rsidRPr="00430224">
        <w:rPr>
          <w:rFonts w:ascii="STIX" w:hAnsi="STIX" w:cs="STIX"/>
          <w:color w:val="211D1E"/>
          <w:sz w:val="24"/>
          <w:szCs w:val="24"/>
        </w:rPr>
        <w:t xml:space="preserve">range,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(e) </w:t>
      </w:r>
      <w:r w:rsidRPr="00430224">
        <w:rPr>
          <w:rFonts w:ascii="STIX" w:hAnsi="STIX" w:cs="STIX"/>
          <w:color w:val="211D1E"/>
          <w:sz w:val="24"/>
          <w:szCs w:val="24"/>
        </w:rPr>
        <w:t xml:space="preserve">standard deviation,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(f) </w:t>
      </w:r>
      <w:r w:rsidRPr="00430224">
        <w:rPr>
          <w:rFonts w:ascii="STIX" w:hAnsi="STIX" w:cs="STIX"/>
          <w:color w:val="211D1E"/>
          <w:sz w:val="24"/>
          <w:szCs w:val="24"/>
        </w:rPr>
        <w:t xml:space="preserve">variance, and </w:t>
      </w:r>
    </w:p>
    <w:p w:rsidR="005C4841" w:rsidRPr="00430224" w:rsidRDefault="00430224" w:rsidP="00430224">
      <w:pPr>
        <w:tabs>
          <w:tab w:val="left" w:pos="8190"/>
        </w:tabs>
        <w:rPr>
          <w:rFonts w:ascii="STIX" w:hAnsi="STIX" w:cs="STIX"/>
          <w:sz w:val="24"/>
          <w:szCs w:val="24"/>
        </w:rPr>
      </w:pPr>
      <w:r w:rsidRPr="00430224">
        <w:rPr>
          <w:rFonts w:ascii="STIX" w:hAnsi="STIX" w:cs="STIX"/>
          <w:b/>
          <w:bCs/>
          <w:color w:val="211D1E"/>
          <w:sz w:val="24"/>
          <w:szCs w:val="24"/>
        </w:rPr>
        <w:t xml:space="preserve">(g) </w:t>
      </w:r>
      <w:r w:rsidRPr="00430224">
        <w:rPr>
          <w:rFonts w:ascii="STIX" w:hAnsi="STIX" w:cs="STIX"/>
          <w:color w:val="211D1E"/>
          <w:sz w:val="24"/>
          <w:szCs w:val="24"/>
        </w:rPr>
        <w:t>coefficient of variation.</w:t>
      </w:r>
    </w:p>
    <w:sectPr w:rsidR="005C4841" w:rsidRPr="00430224"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44</Words>
  <Characters>251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2017-03-18T19:48:00Z</dcterms:created>
  <dcterms:modified xsi:type="dcterms:W3CDTF">2017-03-18T20:03:00Z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