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B5E30" w:rsidRDefault="00512B6C" w:rsidP="00BB5E30">
      <w:pPr>
        <w:pStyle w:val="Default"/>
        <w:rPr>
          <w:b/>
        </w:rPr>
      </w:pPr>
      <w:r w:rsidRPr="00BB5E30">
        <w:rPr>
          <w:b/>
        </w:rPr>
        <w:t xml:space="preserve">Problem </w:t>
      </w:r>
      <w:r w:rsidR="005C4841" w:rsidRPr="00BB5E30">
        <w:rPr>
          <w:b/>
        </w:rPr>
        <w:t>1</w:t>
      </w:r>
      <w:r w:rsidR="00BB5E30" w:rsidRPr="00BB5E30">
        <w:rPr>
          <w:b/>
        </w:rPr>
        <w:t>4.10</w:t>
      </w:r>
    </w:p>
    <w:p w:rsidR="00BB5E30" w:rsidRPr="00BB5E30" w:rsidRDefault="00BB5E30" w:rsidP="00BB5E30">
      <w:pPr>
        <w:autoSpaceDE w:val="0"/>
        <w:autoSpaceDN w:val="0"/>
        <w:adjustRightInd w:val="0"/>
        <w:spacing w:after="0" w:line="240" w:lineRule="auto"/>
        <w:rPr>
          <w:rFonts w:ascii="STIX" w:hAnsi="STIX" w:cs="STIX"/>
          <w:color w:val="000000"/>
          <w:sz w:val="24"/>
          <w:szCs w:val="24"/>
        </w:rPr>
      </w:pPr>
    </w:p>
    <w:p w:rsidR="00BB5E30" w:rsidRPr="00BB5E30" w:rsidRDefault="00BB5E30" w:rsidP="00BB5E30">
      <w:pPr>
        <w:autoSpaceDE w:val="0"/>
        <w:autoSpaceDN w:val="0"/>
        <w:adjustRightInd w:val="0"/>
        <w:spacing w:after="0" w:line="180" w:lineRule="atLeast"/>
        <w:rPr>
          <w:rFonts w:ascii="STIX" w:hAnsi="STIX" w:cs="STIX"/>
          <w:color w:val="211D1E"/>
          <w:sz w:val="24"/>
          <w:szCs w:val="18"/>
        </w:rPr>
      </w:pPr>
      <w:r w:rsidRPr="00BB5E30">
        <w:rPr>
          <w:rFonts w:ascii="STIX" w:hAnsi="STIX" w:cs="STIX"/>
          <w:color w:val="211D1E"/>
          <w:sz w:val="24"/>
          <w:szCs w:val="18"/>
        </w:rPr>
        <w:t>Rather than using the base-</w:t>
      </w:r>
      <w:r w:rsidRPr="00BB5E30">
        <w:rPr>
          <w:rFonts w:ascii="STIX" w:hAnsi="STIX" w:cs="STIX"/>
          <w:i/>
          <w:iCs/>
          <w:color w:val="211D1E"/>
          <w:sz w:val="24"/>
          <w:szCs w:val="18"/>
        </w:rPr>
        <w:t xml:space="preserve">e </w:t>
      </w:r>
      <w:r w:rsidRPr="00BB5E30">
        <w:rPr>
          <w:rFonts w:ascii="STIX" w:hAnsi="STIX" w:cs="STIX"/>
          <w:color w:val="211D1E"/>
          <w:sz w:val="24"/>
          <w:szCs w:val="18"/>
        </w:rPr>
        <w:t>exponential model [Eq. (14.22)], a common alternative is to employ a base-10 model:</w:t>
      </w:r>
    </w:p>
    <w:p w:rsidR="00BB5E30" w:rsidRPr="00BB5E30" w:rsidRDefault="00BB5E30" w:rsidP="00BB5E30">
      <w:pPr>
        <w:autoSpaceDE w:val="0"/>
        <w:autoSpaceDN w:val="0"/>
        <w:adjustRightInd w:val="0"/>
        <w:spacing w:before="100" w:after="120" w:line="180" w:lineRule="atLeast"/>
        <w:ind w:left="240"/>
        <w:jc w:val="center"/>
        <w:rPr>
          <w:rFonts w:ascii="STIX" w:hAnsi="STIX" w:cs="STIX"/>
          <w:color w:val="211D1E"/>
          <w:sz w:val="24"/>
          <w:szCs w:val="11"/>
        </w:rPr>
      </w:pPr>
      <w:r w:rsidRPr="00BB5E30">
        <w:rPr>
          <w:rFonts w:ascii="STIX" w:hAnsi="STIX" w:cs="STIX"/>
          <w:i/>
          <w:iCs/>
          <w:color w:val="211D1E"/>
          <w:sz w:val="24"/>
          <w:szCs w:val="18"/>
        </w:rPr>
        <w:t xml:space="preserve">y </w:t>
      </w:r>
      <w:r w:rsidRPr="00BB5E30">
        <w:rPr>
          <w:rFonts w:ascii="STIX" w:hAnsi="STIX" w:cs="STIX"/>
          <w:color w:val="211D1E"/>
          <w:sz w:val="24"/>
          <w:szCs w:val="18"/>
        </w:rPr>
        <w:t xml:space="preserve">= </w:t>
      </w:r>
      <w:r w:rsidRPr="00BB5E30">
        <w:rPr>
          <w:rFonts w:ascii="STIX" w:hAnsi="STIX" w:cs="STIX"/>
          <w:i/>
          <w:iCs/>
          <w:color w:val="211D1E"/>
          <w:sz w:val="24"/>
          <w:szCs w:val="18"/>
        </w:rPr>
        <w:t>α</w:t>
      </w:r>
      <w:r w:rsidRPr="00BB5E30">
        <w:rPr>
          <w:rFonts w:ascii="STIX" w:hAnsi="STIX" w:cs="STIX"/>
          <w:color w:val="211D1E"/>
          <w:sz w:val="32"/>
          <w:vertAlign w:val="subscript"/>
        </w:rPr>
        <w:t>5</w:t>
      </w:r>
      <w:r w:rsidRPr="00BB5E30">
        <w:rPr>
          <w:rFonts w:ascii="STIX" w:hAnsi="STIX" w:cs="STIX"/>
          <w:color w:val="211D1E"/>
          <w:sz w:val="24"/>
          <w:szCs w:val="18"/>
        </w:rPr>
        <w:t>10</w:t>
      </w:r>
      <w:r w:rsidRPr="00BB5E30">
        <w:rPr>
          <w:rFonts w:ascii="STIX" w:hAnsi="STIX" w:cs="STIX"/>
          <w:i/>
          <w:iCs/>
          <w:color w:val="211D1E"/>
          <w:sz w:val="32"/>
          <w:vertAlign w:val="superscript"/>
        </w:rPr>
        <w:t>β</w:t>
      </w:r>
      <w:r w:rsidRPr="00BB5E30">
        <w:rPr>
          <w:rFonts w:ascii="STIX" w:hAnsi="STIX" w:cs="STIX"/>
          <w:color w:val="211D1E"/>
          <w:sz w:val="24"/>
        </w:rPr>
        <w:t>5</w:t>
      </w:r>
      <w:r w:rsidRPr="00BB5E30">
        <w:rPr>
          <w:rFonts w:ascii="STIX" w:hAnsi="STIX" w:cs="STIX"/>
          <w:i/>
          <w:iCs/>
          <w:color w:val="211D1E"/>
          <w:sz w:val="32"/>
          <w:vertAlign w:val="superscript"/>
        </w:rPr>
        <w:t>x</w:t>
      </w:r>
    </w:p>
    <w:p w:rsidR="00BB5E30" w:rsidRDefault="00BB5E30" w:rsidP="00BB5E30">
      <w:pPr>
        <w:autoSpaceDE w:val="0"/>
        <w:autoSpaceDN w:val="0"/>
        <w:adjustRightInd w:val="0"/>
        <w:spacing w:after="0" w:line="180" w:lineRule="atLeast"/>
        <w:rPr>
          <w:rFonts w:ascii="STIX" w:hAnsi="STIX" w:cs="STIX"/>
          <w:color w:val="211D1E"/>
          <w:sz w:val="24"/>
          <w:szCs w:val="18"/>
        </w:rPr>
      </w:pPr>
      <w:r w:rsidRPr="00BB5E30">
        <w:rPr>
          <w:rFonts w:ascii="STIX" w:hAnsi="STIX" w:cs="STIX"/>
          <w:color w:val="211D1E"/>
          <w:sz w:val="24"/>
          <w:szCs w:val="18"/>
        </w:rPr>
        <w:t>When used for curve fitting, this equation yields identi</w:t>
      </w:r>
      <w:r w:rsidRPr="00BB5E30">
        <w:rPr>
          <w:rFonts w:ascii="STIX" w:hAnsi="STIX" w:cs="STIX"/>
          <w:color w:val="211D1E"/>
          <w:sz w:val="24"/>
          <w:szCs w:val="18"/>
        </w:rPr>
        <w:softHyphen/>
        <w:t>cal results to the base-</w:t>
      </w:r>
      <w:r w:rsidRPr="00BB5E30">
        <w:rPr>
          <w:rFonts w:ascii="STIX" w:hAnsi="STIX" w:cs="STIX"/>
          <w:i/>
          <w:iCs/>
          <w:color w:val="211D1E"/>
          <w:sz w:val="24"/>
          <w:szCs w:val="18"/>
        </w:rPr>
        <w:t xml:space="preserve">e </w:t>
      </w:r>
      <w:r w:rsidRPr="00BB5E30">
        <w:rPr>
          <w:rFonts w:ascii="STIX" w:hAnsi="STIX" w:cs="STIX"/>
          <w:color w:val="211D1E"/>
          <w:sz w:val="24"/>
          <w:szCs w:val="18"/>
        </w:rPr>
        <w:t>version, but the value of the ex</w:t>
      </w:r>
      <w:r w:rsidRPr="00BB5E30">
        <w:rPr>
          <w:rFonts w:ascii="STIX" w:hAnsi="STIX" w:cs="STIX"/>
          <w:color w:val="211D1E"/>
          <w:sz w:val="24"/>
          <w:szCs w:val="18"/>
        </w:rPr>
        <w:softHyphen/>
        <w:t xml:space="preserve">ponent parameter ( </w:t>
      </w:r>
      <w:r w:rsidRPr="00BB5E30">
        <w:rPr>
          <w:rFonts w:ascii="STIX" w:hAnsi="STIX" w:cs="STIX"/>
          <w:i/>
          <w:iCs/>
          <w:color w:val="211D1E"/>
          <w:sz w:val="24"/>
          <w:szCs w:val="18"/>
        </w:rPr>
        <w:t>β</w:t>
      </w:r>
      <w:r w:rsidRPr="00BB5E30">
        <w:rPr>
          <w:rFonts w:ascii="STIX" w:hAnsi="STIX" w:cs="STIX"/>
          <w:color w:val="211D1E"/>
          <w:sz w:val="32"/>
          <w:vertAlign w:val="subscript"/>
        </w:rPr>
        <w:t>5</w:t>
      </w:r>
      <w:r w:rsidRPr="00BB5E30">
        <w:rPr>
          <w:rFonts w:ascii="STIX" w:hAnsi="STIX" w:cs="STIX"/>
          <w:color w:val="211D1E"/>
          <w:sz w:val="24"/>
          <w:szCs w:val="18"/>
        </w:rPr>
        <w:t xml:space="preserve">) will differ from that estimated with Eq. (14.22) ( </w:t>
      </w:r>
      <w:r w:rsidRPr="00BB5E30">
        <w:rPr>
          <w:rFonts w:ascii="STIX" w:hAnsi="STIX" w:cs="STIX"/>
          <w:i/>
          <w:iCs/>
          <w:color w:val="211D1E"/>
          <w:sz w:val="24"/>
          <w:szCs w:val="18"/>
        </w:rPr>
        <w:t>β</w:t>
      </w:r>
      <w:r w:rsidRPr="00BB5E30">
        <w:rPr>
          <w:rFonts w:ascii="STIX" w:hAnsi="STIX" w:cs="STIX"/>
          <w:color w:val="211D1E"/>
          <w:sz w:val="32"/>
          <w:vertAlign w:val="subscript"/>
        </w:rPr>
        <w:t>1</w:t>
      </w:r>
      <w:r w:rsidRPr="00BB5E30">
        <w:rPr>
          <w:rFonts w:ascii="STIX" w:hAnsi="STIX" w:cs="STIX"/>
          <w:color w:val="211D1E"/>
          <w:sz w:val="24"/>
          <w:szCs w:val="18"/>
        </w:rPr>
        <w:t xml:space="preserve">). Use the base-10 version to solve Prob. 14.9. In addition, develop a formulation to relate </w:t>
      </w:r>
      <w:r w:rsidRPr="00BB5E30">
        <w:rPr>
          <w:rFonts w:ascii="STIX" w:hAnsi="STIX" w:cs="STIX"/>
          <w:i/>
          <w:iCs/>
          <w:color w:val="211D1E"/>
          <w:sz w:val="24"/>
          <w:szCs w:val="18"/>
        </w:rPr>
        <w:t>β</w:t>
      </w:r>
      <w:r w:rsidRPr="00BB5E30">
        <w:rPr>
          <w:rFonts w:ascii="STIX" w:hAnsi="STIX" w:cs="STIX"/>
          <w:color w:val="211D1E"/>
          <w:sz w:val="32"/>
          <w:vertAlign w:val="subscript"/>
        </w:rPr>
        <w:t>1</w:t>
      </w:r>
      <w:r w:rsidRPr="00BB5E30">
        <w:rPr>
          <w:rFonts w:ascii="STIX" w:hAnsi="STIX" w:cs="STIX"/>
          <w:color w:val="211D1E"/>
          <w:sz w:val="24"/>
        </w:rPr>
        <w:t xml:space="preserve"> </w:t>
      </w:r>
      <w:r w:rsidRPr="00BB5E30">
        <w:rPr>
          <w:rFonts w:ascii="STIX" w:hAnsi="STIX" w:cs="STIX"/>
          <w:color w:val="211D1E"/>
          <w:sz w:val="24"/>
          <w:szCs w:val="18"/>
        </w:rPr>
        <w:t xml:space="preserve">to </w:t>
      </w:r>
      <w:r w:rsidRPr="00BB5E30">
        <w:rPr>
          <w:rFonts w:ascii="STIX" w:hAnsi="STIX" w:cs="STIX"/>
          <w:i/>
          <w:iCs/>
          <w:color w:val="211D1E"/>
          <w:sz w:val="24"/>
          <w:szCs w:val="18"/>
        </w:rPr>
        <w:t>β</w:t>
      </w:r>
      <w:r w:rsidRPr="00BB5E30">
        <w:rPr>
          <w:rFonts w:ascii="STIX" w:hAnsi="STIX" w:cs="STIX"/>
          <w:color w:val="211D1E"/>
          <w:sz w:val="32"/>
          <w:vertAlign w:val="subscript"/>
        </w:rPr>
        <w:t>5</w:t>
      </w:r>
      <w:r w:rsidRPr="00BB5E30">
        <w:rPr>
          <w:rFonts w:ascii="STIX" w:hAnsi="STIX" w:cs="STIX"/>
          <w:color w:val="211D1E"/>
          <w:sz w:val="24"/>
          <w:szCs w:val="18"/>
        </w:rPr>
        <w:t>.</w:t>
      </w:r>
    </w:p>
    <w:p w:rsidR="0080177F" w:rsidRDefault="0080177F" w:rsidP="00BB5E30">
      <w:pPr>
        <w:autoSpaceDE w:val="0"/>
        <w:autoSpaceDN w:val="0"/>
        <w:adjustRightInd w:val="0"/>
        <w:spacing w:after="0" w:line="180" w:lineRule="atLeast"/>
        <w:rPr>
          <w:rFonts w:ascii="STIX" w:hAnsi="STIX" w:cs="STIX"/>
          <w:color w:val="211D1E"/>
          <w:sz w:val="24"/>
          <w:szCs w:val="18"/>
        </w:rPr>
      </w:pPr>
    </w:p>
    <w:p w:rsidR="0080177F" w:rsidRDefault="0080177F" w:rsidP="00BB5E30">
      <w:pPr>
        <w:autoSpaceDE w:val="0"/>
        <w:autoSpaceDN w:val="0"/>
        <w:adjustRightInd w:val="0"/>
        <w:spacing w:after="0" w:line="180" w:lineRule="atLeast"/>
        <w:rPr>
          <w:rFonts w:ascii="STIX" w:hAnsi="STIX" w:cs="STIX"/>
          <w:i/>
          <w:color w:val="211D1E"/>
          <w:sz w:val="24"/>
          <w:szCs w:val="18"/>
        </w:rPr>
      </w:pPr>
      <w:r w:rsidRPr="0080177F">
        <w:rPr>
          <w:rFonts w:ascii="STIX" w:hAnsi="STIX" w:cs="STIX"/>
          <w:i/>
          <w:color w:val="211D1E"/>
          <w:sz w:val="24"/>
          <w:szCs w:val="18"/>
        </w:rPr>
        <w:t>Eq. 14.22:</w:t>
      </w:r>
    </w:p>
    <w:p w:rsidR="0080177F" w:rsidRPr="0080177F" w:rsidRDefault="0080177F" w:rsidP="0080177F">
      <w:pPr>
        <w:autoSpaceDE w:val="0"/>
        <w:autoSpaceDN w:val="0"/>
        <w:adjustRightInd w:val="0"/>
        <w:spacing w:after="0" w:line="240" w:lineRule="auto"/>
        <w:rPr>
          <w:rFonts w:ascii="STIX" w:hAnsi="STIX" w:cs="STIX"/>
          <w:color w:val="000000"/>
          <w:sz w:val="24"/>
          <w:szCs w:val="24"/>
        </w:rPr>
      </w:pPr>
    </w:p>
    <w:p w:rsidR="0080177F" w:rsidRPr="00BB5E30" w:rsidRDefault="0080177F" w:rsidP="0080177F">
      <w:pPr>
        <w:autoSpaceDE w:val="0"/>
        <w:autoSpaceDN w:val="0"/>
        <w:adjustRightInd w:val="0"/>
        <w:spacing w:after="0" w:line="180" w:lineRule="atLeast"/>
        <w:jc w:val="center"/>
        <w:rPr>
          <w:rFonts w:ascii="STIX" w:hAnsi="STIX" w:cs="STIX"/>
          <w:i/>
          <w:color w:val="211D1E"/>
          <w:sz w:val="24"/>
          <w:szCs w:val="24"/>
        </w:rPr>
      </w:pPr>
      <w:r w:rsidRPr="0080177F">
        <w:rPr>
          <w:rFonts w:ascii="STIX" w:hAnsi="STIX" w:cs="STIX"/>
          <w:i/>
          <w:iCs/>
          <w:color w:val="211D1E"/>
          <w:sz w:val="24"/>
          <w:szCs w:val="24"/>
        </w:rPr>
        <w:t xml:space="preserve">y </w:t>
      </w:r>
      <w:r w:rsidRPr="0080177F">
        <w:rPr>
          <w:rFonts w:ascii="STIX" w:hAnsi="STIX" w:cs="STIX"/>
          <w:color w:val="211D1E"/>
          <w:sz w:val="24"/>
          <w:szCs w:val="24"/>
        </w:rPr>
        <w:t xml:space="preserve">= </w:t>
      </w:r>
      <w:r w:rsidRPr="0080177F">
        <w:rPr>
          <w:rFonts w:ascii="STIX" w:hAnsi="STIX" w:cs="STIX"/>
          <w:i/>
          <w:iCs/>
          <w:color w:val="211D1E"/>
          <w:sz w:val="24"/>
          <w:szCs w:val="24"/>
        </w:rPr>
        <w:t>α</w:t>
      </w:r>
      <w:r w:rsidRPr="0080177F">
        <w:rPr>
          <w:rFonts w:ascii="STIX" w:hAnsi="STIX" w:cs="STIX"/>
          <w:color w:val="211D1E"/>
          <w:sz w:val="32"/>
          <w:szCs w:val="24"/>
          <w:vertAlign w:val="subscript"/>
        </w:rPr>
        <w:t>1</w:t>
      </w:r>
      <w:r w:rsidRPr="0080177F">
        <w:rPr>
          <w:rFonts w:ascii="STIX" w:hAnsi="STIX" w:cs="STIX"/>
          <w:i/>
          <w:iCs/>
          <w:color w:val="211D1E"/>
          <w:sz w:val="24"/>
          <w:szCs w:val="24"/>
        </w:rPr>
        <w:t xml:space="preserve">e </w:t>
      </w:r>
      <w:r w:rsidRPr="0080177F">
        <w:rPr>
          <w:rFonts w:ascii="STIX" w:hAnsi="STIX" w:cs="STIX"/>
          <w:i/>
          <w:iCs/>
          <w:color w:val="211D1E"/>
          <w:sz w:val="32"/>
          <w:szCs w:val="24"/>
          <w:vertAlign w:val="superscript"/>
        </w:rPr>
        <w:t>β</w:t>
      </w:r>
      <w:r w:rsidRPr="0080177F">
        <w:rPr>
          <w:rFonts w:ascii="STIX" w:hAnsi="STIX" w:cs="STIX"/>
          <w:color w:val="211D1E"/>
          <w:sz w:val="24"/>
          <w:szCs w:val="24"/>
        </w:rPr>
        <w:t>1</w:t>
      </w:r>
      <w:r w:rsidRPr="0080177F">
        <w:rPr>
          <w:rFonts w:ascii="STIX" w:hAnsi="STIX" w:cs="STIX"/>
          <w:i/>
          <w:iCs/>
          <w:color w:val="211D1E"/>
          <w:sz w:val="32"/>
          <w:szCs w:val="24"/>
          <w:vertAlign w:val="superscript"/>
        </w:rPr>
        <w:t>x</w:t>
      </w:r>
    </w:p>
    <w:p w:rsidR="000C3F07" w:rsidRDefault="000C3F07" w:rsidP="00BB5E30">
      <w:pPr>
        <w:pStyle w:val="Default"/>
      </w:pPr>
    </w:p>
    <w:p w:rsidR="0080177F" w:rsidRDefault="0080177F" w:rsidP="0080177F">
      <w:pPr>
        <w:pStyle w:val="Default"/>
        <w:rPr>
          <w:b/>
          <w:i/>
        </w:rPr>
      </w:pPr>
    </w:p>
    <w:p w:rsidR="0080177F" w:rsidRPr="0080177F" w:rsidRDefault="0080177F" w:rsidP="0080177F">
      <w:pPr>
        <w:pStyle w:val="Default"/>
        <w:rPr>
          <w:b/>
          <w:i/>
        </w:rPr>
      </w:pPr>
      <w:r w:rsidRPr="0080177F">
        <w:rPr>
          <w:b/>
          <w:i/>
        </w:rPr>
        <w:t>Problem 14.9</w:t>
      </w:r>
    </w:p>
    <w:p w:rsidR="0080177F" w:rsidRPr="000C3F07" w:rsidRDefault="0080177F" w:rsidP="0080177F">
      <w:pPr>
        <w:pStyle w:val="Default"/>
      </w:pPr>
    </w:p>
    <w:p w:rsidR="0080177F" w:rsidRPr="000C3F07" w:rsidRDefault="0080177F" w:rsidP="0080177F">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 xml:space="preserve">The concentration of </w:t>
      </w:r>
      <w:r w:rsidRPr="000C3F07">
        <w:rPr>
          <w:rFonts w:ascii="STIX" w:hAnsi="STIX" w:cs="STIX"/>
          <w:i/>
          <w:iCs/>
          <w:color w:val="211D1E"/>
          <w:sz w:val="24"/>
          <w:szCs w:val="18"/>
        </w:rPr>
        <w:t xml:space="preserve">E. coli </w:t>
      </w:r>
      <w:r w:rsidRPr="000C3F07">
        <w:rPr>
          <w:rFonts w:ascii="STIX" w:hAnsi="STIX" w:cs="STIX"/>
          <w:color w:val="211D1E"/>
          <w:sz w:val="24"/>
          <w:szCs w:val="18"/>
        </w:rPr>
        <w:t>bacteria in a swimming area is monitored after a storm:</w:t>
      </w:r>
    </w:p>
    <w:p w:rsidR="0080177F" w:rsidRPr="000C3F07" w:rsidRDefault="0080177F" w:rsidP="0080177F">
      <w:pPr>
        <w:autoSpaceDE w:val="0"/>
        <w:autoSpaceDN w:val="0"/>
        <w:adjustRightInd w:val="0"/>
        <w:spacing w:after="0" w:line="240" w:lineRule="auto"/>
        <w:rPr>
          <w:rFonts w:ascii="STIX" w:hAnsi="STIX" w:cs="STIX"/>
          <w:color w:val="211D1E"/>
          <w:sz w:val="24"/>
          <w:szCs w:val="18"/>
        </w:rPr>
      </w:pPr>
    </w:p>
    <w:p w:rsidR="0080177F" w:rsidRPr="000C3F07" w:rsidRDefault="0080177F" w:rsidP="0080177F">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1728"/>
        <w:gridCol w:w="810"/>
        <w:gridCol w:w="990"/>
        <w:gridCol w:w="720"/>
        <w:gridCol w:w="720"/>
        <w:gridCol w:w="1080"/>
        <w:gridCol w:w="1260"/>
      </w:tblGrid>
      <w:tr w:rsidR="0080177F" w:rsidRPr="000C3F07" w:rsidTr="00CB35EA">
        <w:tc>
          <w:tcPr>
            <w:tcW w:w="1728" w:type="dxa"/>
          </w:tcPr>
          <w:p w:rsidR="0080177F" w:rsidRPr="000C3F07" w:rsidRDefault="0080177F" w:rsidP="00CB35EA">
            <w:pPr>
              <w:autoSpaceDE w:val="0"/>
              <w:autoSpaceDN w:val="0"/>
              <w:adjustRightInd w:val="0"/>
              <w:spacing w:after="0" w:line="240" w:lineRule="auto"/>
              <w:rPr>
                <w:rFonts w:ascii="STIX" w:hAnsi="STIX" w:cs="STIX"/>
                <w:b/>
                <w:bCs/>
                <w:i/>
                <w:iCs/>
                <w:color w:val="211D1E"/>
                <w:sz w:val="24"/>
                <w:szCs w:val="24"/>
              </w:rPr>
            </w:pPr>
            <w:r w:rsidRPr="000C3F07">
              <w:rPr>
                <w:rFonts w:ascii="STIX" w:hAnsi="STIX" w:cs="STIX"/>
                <w:b/>
                <w:bCs/>
                <w:i/>
                <w:iCs/>
                <w:color w:val="211D1E"/>
                <w:sz w:val="24"/>
                <w:szCs w:val="24"/>
              </w:rPr>
              <w:t xml:space="preserve">t </w:t>
            </w:r>
            <w:r w:rsidRPr="000C3F07">
              <w:rPr>
                <w:rFonts w:ascii="STIX" w:hAnsi="STIX" w:cs="STIX"/>
                <w:b/>
                <w:bCs/>
                <w:color w:val="211D1E"/>
                <w:sz w:val="24"/>
                <w:szCs w:val="24"/>
              </w:rPr>
              <w:t>(hr)</w:t>
            </w:r>
          </w:p>
        </w:tc>
        <w:tc>
          <w:tcPr>
            <w:tcW w:w="81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4</w:t>
            </w:r>
          </w:p>
        </w:tc>
        <w:tc>
          <w:tcPr>
            <w:tcW w:w="99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8</w:t>
            </w:r>
          </w:p>
        </w:tc>
        <w:tc>
          <w:tcPr>
            <w:tcW w:w="72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12</w:t>
            </w:r>
          </w:p>
        </w:tc>
        <w:tc>
          <w:tcPr>
            <w:tcW w:w="72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16</w:t>
            </w:r>
          </w:p>
        </w:tc>
        <w:tc>
          <w:tcPr>
            <w:tcW w:w="108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20</w:t>
            </w:r>
          </w:p>
        </w:tc>
        <w:tc>
          <w:tcPr>
            <w:tcW w:w="1260" w:type="dxa"/>
          </w:tcPr>
          <w:p w:rsidR="0080177F" w:rsidRPr="000C3F07" w:rsidRDefault="0080177F" w:rsidP="00CB35EA">
            <w:pPr>
              <w:autoSpaceDE w:val="0"/>
              <w:autoSpaceDN w:val="0"/>
              <w:adjustRightInd w:val="0"/>
              <w:spacing w:after="0" w:line="240" w:lineRule="auto"/>
              <w:rPr>
                <w:rFonts w:ascii="STIX" w:hAnsi="STIX" w:cs="STIX"/>
                <w:b/>
                <w:bCs/>
                <w:i/>
                <w:iCs/>
                <w:color w:val="211D1E"/>
                <w:sz w:val="24"/>
                <w:szCs w:val="24"/>
              </w:rPr>
            </w:pPr>
            <w:r w:rsidRPr="000C3F07">
              <w:rPr>
                <w:rFonts w:ascii="STIX" w:hAnsi="STIX" w:cs="STIX"/>
                <w:color w:val="211D1E"/>
                <w:sz w:val="24"/>
                <w:szCs w:val="24"/>
              </w:rPr>
              <w:t>24</w:t>
            </w:r>
          </w:p>
        </w:tc>
      </w:tr>
      <w:tr w:rsidR="0080177F" w:rsidRPr="000C3F07" w:rsidTr="00CB35EA">
        <w:tc>
          <w:tcPr>
            <w:tcW w:w="1728" w:type="dxa"/>
          </w:tcPr>
          <w:p w:rsidR="0080177F" w:rsidRPr="000C3F07" w:rsidRDefault="0080177F" w:rsidP="00CB35EA">
            <w:pPr>
              <w:autoSpaceDE w:val="0"/>
              <w:autoSpaceDN w:val="0"/>
              <w:adjustRightInd w:val="0"/>
              <w:spacing w:after="0" w:line="240" w:lineRule="auto"/>
              <w:rPr>
                <w:rFonts w:ascii="STIX" w:hAnsi="STIX" w:cs="STIX"/>
                <w:b/>
                <w:bCs/>
                <w:color w:val="211D1E"/>
                <w:sz w:val="24"/>
                <w:szCs w:val="24"/>
              </w:rPr>
            </w:pPr>
            <w:r w:rsidRPr="000C3F07">
              <w:rPr>
                <w:rFonts w:ascii="STIX" w:hAnsi="STIX" w:cs="STIX"/>
                <w:b/>
                <w:bCs/>
                <w:i/>
                <w:iCs/>
                <w:color w:val="211D1E"/>
                <w:sz w:val="24"/>
                <w:szCs w:val="24"/>
              </w:rPr>
              <w:t>c</w:t>
            </w:r>
            <w:r w:rsidRPr="000C3F07">
              <w:rPr>
                <w:rFonts w:ascii="STIX" w:hAnsi="STIX" w:cs="STIX"/>
                <w:b/>
                <w:bCs/>
                <w:color w:val="211D1E"/>
                <w:sz w:val="24"/>
                <w:szCs w:val="24"/>
              </w:rPr>
              <w:t>(CFU/100m)</w:t>
            </w:r>
          </w:p>
        </w:tc>
        <w:tc>
          <w:tcPr>
            <w:tcW w:w="81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1600</w:t>
            </w:r>
          </w:p>
        </w:tc>
        <w:tc>
          <w:tcPr>
            <w:tcW w:w="99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1320</w:t>
            </w:r>
          </w:p>
        </w:tc>
        <w:tc>
          <w:tcPr>
            <w:tcW w:w="72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1000</w:t>
            </w:r>
          </w:p>
        </w:tc>
        <w:tc>
          <w:tcPr>
            <w:tcW w:w="72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890</w:t>
            </w:r>
          </w:p>
        </w:tc>
        <w:tc>
          <w:tcPr>
            <w:tcW w:w="1080" w:type="dxa"/>
          </w:tcPr>
          <w:p w:rsidR="0080177F" w:rsidRPr="000C3F07" w:rsidRDefault="0080177F" w:rsidP="00CB35EA">
            <w:pPr>
              <w:autoSpaceDE w:val="0"/>
              <w:autoSpaceDN w:val="0"/>
              <w:adjustRightInd w:val="0"/>
              <w:spacing w:after="0" w:line="240" w:lineRule="auto"/>
              <w:rPr>
                <w:rFonts w:ascii="STIX" w:hAnsi="STIX" w:cs="STIX"/>
                <w:color w:val="211D1E"/>
                <w:sz w:val="24"/>
                <w:szCs w:val="24"/>
              </w:rPr>
            </w:pPr>
            <w:r w:rsidRPr="000C3F07">
              <w:rPr>
                <w:rFonts w:ascii="STIX" w:hAnsi="STIX" w:cs="STIX"/>
                <w:color w:val="211D1E"/>
                <w:sz w:val="24"/>
                <w:szCs w:val="24"/>
              </w:rPr>
              <w:t>650</w:t>
            </w:r>
          </w:p>
        </w:tc>
        <w:tc>
          <w:tcPr>
            <w:tcW w:w="1260" w:type="dxa"/>
          </w:tcPr>
          <w:p w:rsidR="0080177F" w:rsidRPr="000C3F07" w:rsidRDefault="0080177F" w:rsidP="00CB35EA">
            <w:pPr>
              <w:autoSpaceDE w:val="0"/>
              <w:autoSpaceDN w:val="0"/>
              <w:adjustRightInd w:val="0"/>
              <w:spacing w:after="0" w:line="240" w:lineRule="auto"/>
              <w:rPr>
                <w:rFonts w:ascii="STIX" w:hAnsi="STIX" w:cs="STIX"/>
                <w:sz w:val="24"/>
                <w:szCs w:val="24"/>
              </w:rPr>
            </w:pPr>
            <w:r w:rsidRPr="000C3F07">
              <w:rPr>
                <w:rFonts w:ascii="STIX" w:hAnsi="STIX" w:cs="STIX"/>
                <w:color w:val="211D1E"/>
                <w:sz w:val="24"/>
                <w:szCs w:val="24"/>
              </w:rPr>
              <w:t>560</w:t>
            </w:r>
          </w:p>
        </w:tc>
      </w:tr>
    </w:tbl>
    <w:p w:rsidR="0080177F" w:rsidRPr="000C3F07" w:rsidRDefault="0080177F" w:rsidP="0080177F">
      <w:pPr>
        <w:autoSpaceDE w:val="0"/>
        <w:autoSpaceDN w:val="0"/>
        <w:adjustRightInd w:val="0"/>
        <w:spacing w:after="0" w:line="240" w:lineRule="auto"/>
        <w:rPr>
          <w:rFonts w:ascii="STIX" w:hAnsi="STIX" w:cs="STIX"/>
          <w:sz w:val="24"/>
        </w:rPr>
      </w:pPr>
    </w:p>
    <w:p w:rsidR="0080177F" w:rsidRPr="000C3F07" w:rsidRDefault="0080177F" w:rsidP="0080177F">
      <w:pPr>
        <w:pStyle w:val="Default"/>
      </w:pPr>
    </w:p>
    <w:p w:rsidR="0080177F" w:rsidRDefault="0080177F" w:rsidP="0080177F">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 xml:space="preserve">The time is measured in hours following the end of the storm and the unit CFU is a “colony forming unit.” Use this data to estimate </w:t>
      </w:r>
    </w:p>
    <w:p w:rsidR="0080177F" w:rsidRDefault="0080177F" w:rsidP="0080177F">
      <w:pPr>
        <w:autoSpaceDE w:val="0"/>
        <w:autoSpaceDN w:val="0"/>
        <w:adjustRightInd w:val="0"/>
        <w:spacing w:after="0" w:line="240" w:lineRule="auto"/>
        <w:rPr>
          <w:rFonts w:ascii="STIX" w:hAnsi="STIX" w:cs="STIX"/>
          <w:color w:val="211D1E"/>
          <w:sz w:val="24"/>
          <w:szCs w:val="18"/>
        </w:rPr>
      </w:pPr>
    </w:p>
    <w:p w:rsidR="0080177F" w:rsidRDefault="0080177F" w:rsidP="0080177F">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w:t>
      </w:r>
      <w:r w:rsidRPr="000C3F07">
        <w:rPr>
          <w:rFonts w:ascii="STIX" w:hAnsi="STIX" w:cs="STIX"/>
          <w:b/>
          <w:bCs/>
          <w:color w:val="211D1E"/>
          <w:sz w:val="24"/>
          <w:szCs w:val="18"/>
        </w:rPr>
        <w:t>a</w:t>
      </w:r>
      <w:r w:rsidRPr="000C3F07">
        <w:rPr>
          <w:rFonts w:ascii="STIX" w:hAnsi="STIX" w:cs="STIX"/>
          <w:color w:val="211D1E"/>
          <w:sz w:val="24"/>
          <w:szCs w:val="18"/>
        </w:rPr>
        <w:t>) the concentration at the end of the storm (</w:t>
      </w:r>
      <w:r w:rsidRPr="000C3F07">
        <w:rPr>
          <w:rFonts w:ascii="STIX" w:hAnsi="STIX" w:cs="STIX"/>
          <w:i/>
          <w:iCs/>
          <w:color w:val="211D1E"/>
          <w:sz w:val="24"/>
          <w:szCs w:val="18"/>
        </w:rPr>
        <w:t xml:space="preserve">t </w:t>
      </w:r>
      <w:r w:rsidRPr="000C3F07">
        <w:rPr>
          <w:rFonts w:ascii="STIX" w:hAnsi="STIX" w:cs="STIX"/>
          <w:color w:val="211D1E"/>
          <w:sz w:val="24"/>
          <w:szCs w:val="18"/>
        </w:rPr>
        <w:t xml:space="preserve">= 0) and </w:t>
      </w:r>
    </w:p>
    <w:p w:rsidR="0080177F" w:rsidRDefault="0080177F" w:rsidP="0080177F">
      <w:pPr>
        <w:autoSpaceDE w:val="0"/>
        <w:autoSpaceDN w:val="0"/>
        <w:adjustRightInd w:val="0"/>
        <w:spacing w:after="0" w:line="240" w:lineRule="auto"/>
        <w:rPr>
          <w:rFonts w:ascii="STIX" w:hAnsi="STIX" w:cs="STIX"/>
          <w:color w:val="211D1E"/>
          <w:sz w:val="24"/>
          <w:szCs w:val="18"/>
        </w:rPr>
      </w:pPr>
      <w:r w:rsidRPr="000C3F07">
        <w:rPr>
          <w:rFonts w:ascii="STIX" w:hAnsi="STIX" w:cs="STIX"/>
          <w:color w:val="211D1E"/>
          <w:sz w:val="24"/>
          <w:szCs w:val="18"/>
        </w:rPr>
        <w:t>(</w:t>
      </w:r>
      <w:r w:rsidRPr="000C3F07">
        <w:rPr>
          <w:rFonts w:ascii="STIX" w:hAnsi="STIX" w:cs="STIX"/>
          <w:b/>
          <w:bCs/>
          <w:color w:val="211D1E"/>
          <w:sz w:val="24"/>
          <w:szCs w:val="18"/>
        </w:rPr>
        <w:t>b</w:t>
      </w:r>
      <w:r w:rsidRPr="000C3F07">
        <w:rPr>
          <w:rFonts w:ascii="STIX" w:hAnsi="STIX" w:cs="STIX"/>
          <w:color w:val="211D1E"/>
          <w:sz w:val="24"/>
          <w:szCs w:val="18"/>
        </w:rPr>
        <w:t xml:space="preserve">) the time at which the concentration will reach 200 CFU/100 mL. </w:t>
      </w:r>
    </w:p>
    <w:p w:rsidR="0080177F" w:rsidRDefault="0080177F" w:rsidP="0080177F">
      <w:pPr>
        <w:autoSpaceDE w:val="0"/>
        <w:autoSpaceDN w:val="0"/>
        <w:adjustRightInd w:val="0"/>
        <w:spacing w:after="0" w:line="240" w:lineRule="auto"/>
        <w:rPr>
          <w:rFonts w:ascii="STIX" w:hAnsi="STIX" w:cs="STIX"/>
          <w:color w:val="211D1E"/>
          <w:sz w:val="24"/>
          <w:szCs w:val="18"/>
        </w:rPr>
      </w:pPr>
    </w:p>
    <w:p w:rsidR="0080177F" w:rsidRPr="000C3F07" w:rsidRDefault="0080177F" w:rsidP="0080177F">
      <w:pPr>
        <w:autoSpaceDE w:val="0"/>
        <w:autoSpaceDN w:val="0"/>
        <w:adjustRightInd w:val="0"/>
        <w:spacing w:after="0" w:line="240" w:lineRule="auto"/>
        <w:rPr>
          <w:rFonts w:ascii="STIX" w:hAnsi="STIX" w:cs="STIX"/>
          <w:sz w:val="24"/>
        </w:rPr>
      </w:pPr>
      <w:r w:rsidRPr="000C3F07">
        <w:rPr>
          <w:rFonts w:ascii="STIX" w:hAnsi="STIX" w:cs="STIX"/>
          <w:color w:val="211D1E"/>
          <w:sz w:val="24"/>
          <w:szCs w:val="18"/>
        </w:rPr>
        <w:t>Note that your choice of model should be consistent with the fact that negative concentrations are impossible and that the bacteria concentration always de</w:t>
      </w:r>
      <w:r w:rsidRPr="000C3F07">
        <w:rPr>
          <w:rFonts w:ascii="STIX" w:hAnsi="STIX" w:cs="STIX"/>
          <w:color w:val="211D1E"/>
          <w:sz w:val="24"/>
          <w:szCs w:val="18"/>
        </w:rPr>
        <w:softHyphen/>
        <w:t>creases with time.</w:t>
      </w:r>
    </w:p>
    <w:p w:rsidR="0080177F" w:rsidRPr="00BB5E30" w:rsidRDefault="0080177F" w:rsidP="00BB5E30">
      <w:pPr>
        <w:pStyle w:val="Default"/>
      </w:pPr>
    </w:p>
    <w:sectPr w:rsidR="0080177F" w:rsidRPr="00BB5E30" w:rsidSect="006838A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68BC"/>
    <w:rsid w:val="00130319"/>
    <w:rsid w:val="001349E5"/>
    <w:rsid w:val="00135141"/>
    <w:rsid w:val="00135DFE"/>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FC"/>
    <w:rsid w:val="003A537D"/>
    <w:rsid w:val="003A598F"/>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2CAD"/>
    <w:rsid w:val="008440C4"/>
    <w:rsid w:val="00846CC1"/>
    <w:rsid w:val="008516DE"/>
    <w:rsid w:val="00852AEF"/>
    <w:rsid w:val="00854383"/>
    <w:rsid w:val="008543D0"/>
    <w:rsid w:val="008568F5"/>
    <w:rsid w:val="00857053"/>
    <w:rsid w:val="00857F26"/>
    <w:rsid w:val="00860A2B"/>
    <w:rsid w:val="00862F39"/>
    <w:rsid w:val="008641E5"/>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1F53"/>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159</Words>
  <Characters>908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4</cp:revision>
  <dcterms:created xsi:type="dcterms:W3CDTF">2017-03-18T20:29:00Z</dcterms:created>
  <dcterms:modified xsi:type="dcterms:W3CDTF">2017-04-02T19:45:00Z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