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25351" w:rsidRDefault="00512B6C" w:rsidP="00125351">
      <w:pPr>
        <w:pStyle w:val="Default"/>
        <w:rPr>
          <w:b/>
        </w:rPr>
      </w:pPr>
      <w:r w:rsidRPr="00125351">
        <w:rPr>
          <w:b/>
        </w:rPr>
        <w:t xml:space="preserve">Problem </w:t>
      </w:r>
      <w:r w:rsidR="005C4841" w:rsidRPr="00125351">
        <w:rPr>
          <w:b/>
        </w:rPr>
        <w:t>1</w:t>
      </w:r>
      <w:r w:rsidR="00125351" w:rsidRPr="00125351">
        <w:rPr>
          <w:b/>
        </w:rPr>
        <w:t>4.12</w:t>
      </w:r>
    </w:p>
    <w:p w:rsidR="00125351" w:rsidRPr="00125351" w:rsidRDefault="00125351" w:rsidP="00125351">
      <w:pPr>
        <w:pStyle w:val="Default"/>
      </w:pPr>
    </w:p>
    <w:p w:rsidR="009A7A81" w:rsidRDefault="00125351" w:rsidP="00125351">
      <w:pPr>
        <w:autoSpaceDE w:val="0"/>
        <w:autoSpaceDN w:val="0"/>
        <w:adjustRightInd w:val="0"/>
        <w:spacing w:after="0" w:line="240" w:lineRule="auto"/>
        <w:rPr>
          <w:rFonts w:ascii="STIX" w:hAnsi="STIX" w:cs="STIX"/>
          <w:color w:val="211D1E"/>
          <w:sz w:val="24"/>
          <w:szCs w:val="18"/>
        </w:rPr>
      </w:pPr>
      <w:r w:rsidRPr="00125351">
        <w:rPr>
          <w:rFonts w:ascii="STIX" w:hAnsi="STIX" w:cs="STIX"/>
          <w:color w:val="211D1E"/>
          <w:sz w:val="24"/>
          <w:szCs w:val="18"/>
        </w:rPr>
        <w:t xml:space="preserve">On average, the surface area </w:t>
      </w:r>
      <w:r w:rsidRPr="00125351">
        <w:rPr>
          <w:rFonts w:ascii="STIX" w:hAnsi="STIX" w:cs="STIX"/>
          <w:i/>
          <w:iCs/>
          <w:color w:val="211D1E"/>
          <w:sz w:val="24"/>
          <w:szCs w:val="18"/>
        </w:rPr>
        <w:t xml:space="preserve">A </w:t>
      </w:r>
      <w:r w:rsidRPr="00125351">
        <w:rPr>
          <w:rFonts w:ascii="STIX" w:hAnsi="STIX" w:cs="STIX"/>
          <w:color w:val="211D1E"/>
          <w:sz w:val="24"/>
          <w:szCs w:val="18"/>
        </w:rPr>
        <w:t xml:space="preserve">of human beings is related to weight </w:t>
      </w:r>
      <w:r w:rsidRPr="00125351">
        <w:rPr>
          <w:rFonts w:ascii="STIX" w:hAnsi="STIX" w:cs="STIX"/>
          <w:i/>
          <w:iCs/>
          <w:color w:val="211D1E"/>
          <w:sz w:val="24"/>
          <w:szCs w:val="18"/>
        </w:rPr>
        <w:t xml:space="preserve">W </w:t>
      </w:r>
      <w:r w:rsidRPr="00125351">
        <w:rPr>
          <w:rFonts w:ascii="STIX" w:hAnsi="STIX" w:cs="STIX"/>
          <w:color w:val="211D1E"/>
          <w:sz w:val="24"/>
          <w:szCs w:val="18"/>
        </w:rPr>
        <w:t xml:space="preserve">and height </w:t>
      </w:r>
      <w:r w:rsidRPr="00125351">
        <w:rPr>
          <w:rFonts w:ascii="STIX" w:hAnsi="STIX" w:cs="STIX"/>
          <w:i/>
          <w:iCs/>
          <w:color w:val="211D1E"/>
          <w:sz w:val="24"/>
          <w:szCs w:val="18"/>
        </w:rPr>
        <w:t>H</w:t>
      </w:r>
      <w:r w:rsidRPr="00125351">
        <w:rPr>
          <w:rFonts w:ascii="STIX" w:hAnsi="STIX" w:cs="STIX"/>
          <w:color w:val="211D1E"/>
          <w:sz w:val="24"/>
          <w:szCs w:val="18"/>
        </w:rPr>
        <w:t>. Measurements on a num</w:t>
      </w:r>
      <w:r w:rsidRPr="00125351">
        <w:rPr>
          <w:rFonts w:ascii="STIX" w:hAnsi="STIX" w:cs="STIX"/>
          <w:color w:val="211D1E"/>
          <w:sz w:val="24"/>
          <w:szCs w:val="18"/>
        </w:rPr>
        <w:softHyphen/>
        <w:t xml:space="preserve">ber of individuals of height 180 cm and different weights (kg) give values of </w:t>
      </w:r>
      <w:r w:rsidRPr="00125351">
        <w:rPr>
          <w:rFonts w:ascii="STIX" w:hAnsi="STIX" w:cs="STIX"/>
          <w:i/>
          <w:iCs/>
          <w:color w:val="211D1E"/>
          <w:sz w:val="24"/>
          <w:szCs w:val="18"/>
        </w:rPr>
        <w:t xml:space="preserve">A </w:t>
      </w:r>
      <w:r w:rsidRPr="00125351">
        <w:rPr>
          <w:rFonts w:ascii="STIX" w:hAnsi="STIX" w:cs="STIX"/>
          <w:color w:val="211D1E"/>
          <w:sz w:val="24"/>
          <w:szCs w:val="18"/>
        </w:rPr>
        <w:t>(m</w:t>
      </w:r>
      <w:r w:rsidRPr="00125351">
        <w:rPr>
          <w:rStyle w:val="A57"/>
          <w:rFonts w:ascii="STIX" w:hAnsi="STIX" w:cs="STIX"/>
          <w:sz w:val="32"/>
          <w:vertAlign w:val="superscript"/>
        </w:rPr>
        <w:t>2</w:t>
      </w:r>
      <w:r w:rsidRPr="00125351">
        <w:rPr>
          <w:rFonts w:ascii="STIX" w:hAnsi="STIX" w:cs="STIX"/>
          <w:color w:val="211D1E"/>
          <w:sz w:val="24"/>
          <w:szCs w:val="18"/>
        </w:rPr>
        <w:t>) in the following table:</w:t>
      </w:r>
    </w:p>
    <w:p w:rsidR="00125351" w:rsidRPr="00125351" w:rsidRDefault="00125351" w:rsidP="00125351">
      <w:pPr>
        <w:autoSpaceDE w:val="0"/>
        <w:autoSpaceDN w:val="0"/>
        <w:adjustRightInd w:val="0"/>
        <w:spacing w:after="0" w:line="240" w:lineRule="auto"/>
        <w:rPr>
          <w:rFonts w:ascii="STIX" w:hAnsi="STIX" w:cs="STIX"/>
          <w:color w:val="000000"/>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
        <w:gridCol w:w="636"/>
        <w:gridCol w:w="636"/>
        <w:gridCol w:w="636"/>
        <w:gridCol w:w="636"/>
        <w:gridCol w:w="636"/>
        <w:gridCol w:w="636"/>
        <w:gridCol w:w="636"/>
        <w:gridCol w:w="636"/>
      </w:tblGrid>
      <w:tr w:rsidR="00125351" w:rsidRPr="00125351" w:rsidTr="00825080">
        <w:trPr>
          <w:jc w:val="center"/>
        </w:trPr>
        <w:tc>
          <w:tcPr>
            <w:tcW w:w="0" w:type="auto"/>
          </w:tcPr>
          <w:p w:rsidR="00125351" w:rsidRPr="00125351" w:rsidRDefault="00125351" w:rsidP="008476AC">
            <w:pPr>
              <w:autoSpaceDE w:val="0"/>
              <w:autoSpaceDN w:val="0"/>
              <w:adjustRightInd w:val="0"/>
              <w:spacing w:before="280" w:after="40" w:line="160" w:lineRule="atLeast"/>
              <w:rPr>
                <w:rFonts w:ascii="STIX" w:hAnsi="STIX" w:cs="STIX"/>
                <w:b/>
                <w:bCs/>
                <w:i/>
                <w:iCs/>
                <w:color w:val="211D1E"/>
                <w:sz w:val="24"/>
                <w:szCs w:val="24"/>
              </w:rPr>
            </w:pPr>
            <w:r w:rsidRPr="00125351">
              <w:rPr>
                <w:rFonts w:ascii="STIX" w:hAnsi="STIX" w:cs="STIX"/>
                <w:b/>
                <w:bCs/>
                <w:i/>
                <w:iCs/>
                <w:color w:val="211D1E"/>
                <w:sz w:val="24"/>
                <w:szCs w:val="24"/>
              </w:rPr>
              <w:t>W (</w:t>
            </w:r>
            <w:r w:rsidRPr="00125351">
              <w:rPr>
                <w:rFonts w:ascii="STIX" w:hAnsi="STIX" w:cs="STIX"/>
                <w:b/>
                <w:bCs/>
                <w:color w:val="211D1E"/>
                <w:sz w:val="24"/>
                <w:szCs w:val="24"/>
              </w:rPr>
              <w:t>kg)</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70</w:t>
            </w:r>
          </w:p>
        </w:tc>
        <w:tc>
          <w:tcPr>
            <w:tcW w:w="0" w:type="auto"/>
          </w:tcPr>
          <w:p w:rsidR="00125351" w:rsidRPr="00125351" w:rsidRDefault="00125351" w:rsidP="00125351">
            <w:pPr>
              <w:autoSpaceDE w:val="0"/>
              <w:autoSpaceDN w:val="0"/>
              <w:adjustRightInd w:val="0"/>
              <w:spacing w:before="280" w:after="40" w:line="160" w:lineRule="atLeast"/>
              <w:jc w:val="center"/>
              <w:rPr>
                <w:rFonts w:ascii="STIX" w:hAnsi="STIX" w:cs="STIX"/>
                <w:color w:val="211D1E"/>
                <w:sz w:val="24"/>
                <w:szCs w:val="24"/>
              </w:rPr>
            </w:pPr>
            <w:r w:rsidRPr="00125351">
              <w:rPr>
                <w:rFonts w:ascii="STIX" w:hAnsi="STIX" w:cs="STIX"/>
                <w:color w:val="211D1E"/>
                <w:sz w:val="24"/>
                <w:szCs w:val="24"/>
              </w:rPr>
              <w:t>75</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77</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80</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82</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84</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87</w:t>
            </w:r>
          </w:p>
        </w:tc>
        <w:tc>
          <w:tcPr>
            <w:tcW w:w="0" w:type="auto"/>
          </w:tcPr>
          <w:p w:rsidR="00125351" w:rsidRPr="00125351" w:rsidRDefault="00125351" w:rsidP="008476AC">
            <w:pPr>
              <w:autoSpaceDE w:val="0"/>
              <w:autoSpaceDN w:val="0"/>
              <w:adjustRightInd w:val="0"/>
              <w:spacing w:before="280" w:after="40" w:line="160" w:lineRule="atLeast"/>
              <w:rPr>
                <w:rFonts w:ascii="STIX" w:hAnsi="STIX" w:cs="STIX"/>
                <w:color w:val="211D1E"/>
                <w:sz w:val="24"/>
                <w:szCs w:val="24"/>
              </w:rPr>
            </w:pPr>
            <w:r w:rsidRPr="00125351">
              <w:rPr>
                <w:rFonts w:ascii="STIX" w:hAnsi="STIX" w:cs="STIX"/>
                <w:color w:val="211D1E"/>
                <w:sz w:val="24"/>
                <w:szCs w:val="24"/>
              </w:rPr>
              <w:t>90</w:t>
            </w:r>
          </w:p>
        </w:tc>
      </w:tr>
      <w:tr w:rsidR="00125351" w:rsidRPr="00125351" w:rsidTr="00825080">
        <w:trPr>
          <w:jc w:val="center"/>
        </w:trPr>
        <w:tc>
          <w:tcPr>
            <w:tcW w:w="0" w:type="auto"/>
          </w:tcPr>
          <w:p w:rsidR="00125351" w:rsidRPr="00125351" w:rsidRDefault="00125351" w:rsidP="00825080">
            <w:pPr>
              <w:autoSpaceDE w:val="0"/>
              <w:autoSpaceDN w:val="0"/>
              <w:adjustRightInd w:val="0"/>
              <w:spacing w:after="0" w:line="240" w:lineRule="auto"/>
              <w:rPr>
                <w:rFonts w:ascii="STIX" w:hAnsi="STIX" w:cs="STIX"/>
                <w:b/>
                <w:bCs/>
                <w:color w:val="211D1E"/>
                <w:sz w:val="24"/>
                <w:szCs w:val="24"/>
              </w:rPr>
            </w:pPr>
            <w:r w:rsidRPr="00125351">
              <w:rPr>
                <w:rFonts w:ascii="STIX" w:hAnsi="STIX" w:cs="STIX"/>
                <w:b/>
                <w:bCs/>
                <w:i/>
                <w:iCs/>
                <w:color w:val="211D1E"/>
                <w:sz w:val="24"/>
                <w:szCs w:val="24"/>
              </w:rPr>
              <w:t>A</w:t>
            </w:r>
            <w:r w:rsidR="00825080">
              <w:rPr>
                <w:rFonts w:ascii="STIX" w:hAnsi="STIX" w:cs="STIX"/>
                <w:b/>
                <w:bCs/>
                <w:i/>
                <w:iCs/>
                <w:color w:val="211D1E"/>
                <w:sz w:val="24"/>
                <w:szCs w:val="24"/>
              </w:rPr>
              <w:t xml:space="preserve"> </w:t>
            </w:r>
            <w:r w:rsidRPr="00125351">
              <w:rPr>
                <w:rFonts w:ascii="STIX" w:hAnsi="STIX" w:cs="STIX"/>
                <w:b/>
                <w:bCs/>
                <w:color w:val="211D1E"/>
                <w:sz w:val="24"/>
                <w:szCs w:val="24"/>
              </w:rPr>
              <w:t>(m</w:t>
            </w:r>
            <w:r w:rsidRPr="00125351">
              <w:rPr>
                <w:rFonts w:ascii="STIX" w:hAnsi="STIX" w:cs="STIX"/>
                <w:b/>
                <w:bCs/>
                <w:color w:val="211D1E"/>
                <w:sz w:val="32"/>
                <w:szCs w:val="24"/>
                <w:vertAlign w:val="superscript"/>
              </w:rPr>
              <w:t>2</w:t>
            </w:r>
            <w:r w:rsidRPr="00125351">
              <w:rPr>
                <w:rFonts w:ascii="STIX" w:hAnsi="STIX" w:cs="STIX"/>
                <w:b/>
                <w:bCs/>
                <w:color w:val="211D1E"/>
                <w:sz w:val="24"/>
                <w:szCs w:val="24"/>
              </w:rPr>
              <w:t>)</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2.10</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2.12</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2.15</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2.20</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2.22</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2.23</w:t>
            </w:r>
          </w:p>
        </w:tc>
        <w:tc>
          <w:tcPr>
            <w:tcW w:w="0" w:type="auto"/>
          </w:tcPr>
          <w:p w:rsidR="00125351" w:rsidRPr="00125351" w:rsidRDefault="00125351" w:rsidP="008476AC">
            <w:pPr>
              <w:autoSpaceDE w:val="0"/>
              <w:autoSpaceDN w:val="0"/>
              <w:adjustRightInd w:val="0"/>
              <w:spacing w:after="0" w:line="240" w:lineRule="auto"/>
              <w:rPr>
                <w:rFonts w:ascii="STIX" w:hAnsi="STIX" w:cs="STIX"/>
                <w:color w:val="211D1E"/>
                <w:sz w:val="24"/>
                <w:szCs w:val="24"/>
              </w:rPr>
            </w:pPr>
            <w:r w:rsidRPr="00125351">
              <w:rPr>
                <w:rFonts w:ascii="STIX" w:hAnsi="STIX" w:cs="STIX"/>
                <w:color w:val="211D1E"/>
                <w:sz w:val="24"/>
                <w:szCs w:val="24"/>
              </w:rPr>
              <w:t>2.26</w:t>
            </w:r>
          </w:p>
        </w:tc>
        <w:tc>
          <w:tcPr>
            <w:tcW w:w="0" w:type="auto"/>
          </w:tcPr>
          <w:p w:rsidR="00125351" w:rsidRPr="00125351" w:rsidRDefault="00125351" w:rsidP="008476AC">
            <w:pPr>
              <w:autoSpaceDE w:val="0"/>
              <w:autoSpaceDN w:val="0"/>
              <w:adjustRightInd w:val="0"/>
              <w:spacing w:after="0" w:line="240" w:lineRule="auto"/>
              <w:rPr>
                <w:rFonts w:ascii="STIX" w:hAnsi="STIX" w:cs="STIX"/>
                <w:sz w:val="24"/>
                <w:szCs w:val="24"/>
              </w:rPr>
            </w:pPr>
            <w:r w:rsidRPr="00125351">
              <w:rPr>
                <w:rFonts w:ascii="STIX" w:hAnsi="STIX" w:cs="STIX"/>
                <w:color w:val="211D1E"/>
                <w:sz w:val="24"/>
                <w:szCs w:val="24"/>
              </w:rPr>
              <w:t>2.30</w:t>
            </w:r>
          </w:p>
        </w:tc>
      </w:tr>
    </w:tbl>
    <w:p w:rsidR="00125351" w:rsidRPr="00125351" w:rsidRDefault="00125351" w:rsidP="00125351">
      <w:pPr>
        <w:autoSpaceDE w:val="0"/>
        <w:autoSpaceDN w:val="0"/>
        <w:adjustRightInd w:val="0"/>
        <w:spacing w:after="0" w:line="240" w:lineRule="auto"/>
        <w:rPr>
          <w:rFonts w:ascii="STIX" w:hAnsi="STIX" w:cs="STIX"/>
          <w:sz w:val="24"/>
          <w:szCs w:val="24"/>
        </w:rPr>
      </w:pPr>
    </w:p>
    <w:p w:rsidR="00125351" w:rsidRPr="00125351" w:rsidRDefault="00125351" w:rsidP="00125351">
      <w:pPr>
        <w:autoSpaceDE w:val="0"/>
        <w:autoSpaceDN w:val="0"/>
        <w:adjustRightInd w:val="0"/>
        <w:spacing w:after="0" w:line="240" w:lineRule="auto"/>
        <w:rPr>
          <w:rFonts w:ascii="STIX" w:hAnsi="STIX" w:cs="STIX"/>
          <w:sz w:val="24"/>
          <w:szCs w:val="24"/>
        </w:rPr>
      </w:pPr>
      <w:r w:rsidRPr="00125351">
        <w:rPr>
          <w:rFonts w:ascii="STIX" w:hAnsi="STIX" w:cs="STIX"/>
          <w:color w:val="211D1E"/>
          <w:sz w:val="24"/>
          <w:szCs w:val="24"/>
        </w:rPr>
        <w:t xml:space="preserve">Show that a power law </w:t>
      </w:r>
      <w:r w:rsidRPr="00125351">
        <w:rPr>
          <w:rFonts w:ascii="STIX" w:hAnsi="STIX" w:cs="STIX"/>
          <w:i/>
          <w:iCs/>
          <w:color w:val="211D1E"/>
          <w:sz w:val="24"/>
          <w:szCs w:val="24"/>
        </w:rPr>
        <w:t xml:space="preserve">A </w:t>
      </w:r>
      <w:r w:rsidRPr="00125351">
        <w:rPr>
          <w:rFonts w:ascii="STIX" w:hAnsi="STIX" w:cs="STIX"/>
          <w:color w:val="211D1E"/>
          <w:sz w:val="24"/>
          <w:szCs w:val="24"/>
        </w:rPr>
        <w:t xml:space="preserve">= </w:t>
      </w:r>
      <w:r w:rsidRPr="00125351">
        <w:rPr>
          <w:rFonts w:ascii="STIX" w:hAnsi="STIX" w:cs="STIX"/>
          <w:i/>
          <w:iCs/>
          <w:color w:val="211D1E"/>
          <w:sz w:val="24"/>
          <w:szCs w:val="24"/>
        </w:rPr>
        <w:t>aW</w:t>
      </w:r>
      <w:r w:rsidRPr="00125351">
        <w:rPr>
          <w:rFonts w:ascii="STIX" w:hAnsi="STIX" w:cs="STIX"/>
          <w:i/>
          <w:iCs/>
          <w:color w:val="211D1E"/>
          <w:sz w:val="32"/>
          <w:szCs w:val="24"/>
          <w:vertAlign w:val="superscript"/>
        </w:rPr>
        <w:t>b</w:t>
      </w:r>
      <w:r w:rsidRPr="00125351">
        <w:rPr>
          <w:rFonts w:ascii="STIX" w:hAnsi="STIX" w:cs="STIX"/>
          <w:i/>
          <w:iCs/>
          <w:color w:val="211D1E"/>
          <w:sz w:val="24"/>
          <w:szCs w:val="24"/>
        </w:rPr>
        <w:t xml:space="preserve"> </w:t>
      </w:r>
      <w:r w:rsidRPr="00125351">
        <w:rPr>
          <w:rFonts w:ascii="STIX" w:hAnsi="STIX" w:cs="STIX"/>
          <w:color w:val="211D1E"/>
          <w:sz w:val="24"/>
          <w:szCs w:val="24"/>
        </w:rPr>
        <w:t xml:space="preserve">fits these data reasonably well. Evaluate the constants </w:t>
      </w:r>
      <w:r w:rsidRPr="00125351">
        <w:rPr>
          <w:rFonts w:ascii="STIX" w:hAnsi="STIX" w:cs="STIX"/>
          <w:i/>
          <w:iCs/>
          <w:color w:val="211D1E"/>
          <w:sz w:val="24"/>
          <w:szCs w:val="24"/>
        </w:rPr>
        <w:t xml:space="preserve">a </w:t>
      </w:r>
      <w:r w:rsidRPr="00125351">
        <w:rPr>
          <w:rFonts w:ascii="STIX" w:hAnsi="STIX" w:cs="STIX"/>
          <w:color w:val="211D1E"/>
          <w:sz w:val="24"/>
          <w:szCs w:val="24"/>
        </w:rPr>
        <w:t xml:space="preserve">and </w:t>
      </w:r>
      <w:r w:rsidRPr="00125351">
        <w:rPr>
          <w:rFonts w:ascii="STIX" w:hAnsi="STIX" w:cs="STIX"/>
          <w:i/>
          <w:iCs/>
          <w:color w:val="211D1E"/>
          <w:sz w:val="24"/>
          <w:szCs w:val="24"/>
        </w:rPr>
        <w:t>b</w:t>
      </w:r>
      <w:r w:rsidRPr="00125351">
        <w:rPr>
          <w:rFonts w:ascii="STIX" w:hAnsi="STIX" w:cs="STIX"/>
          <w:color w:val="211D1E"/>
          <w:sz w:val="24"/>
          <w:szCs w:val="24"/>
        </w:rPr>
        <w:t>, and predict what the surface area is for a 95-kg person.</w:t>
      </w:r>
    </w:p>
    <w:sectPr w:rsidR="00125351" w:rsidRPr="00125351"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24FE"/>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08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2017-03-18T21:05:00Z</dcterms:created>
  <dcterms:modified xsi:type="dcterms:W3CDTF">2017-03-18T21:08:00Z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