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A28D7" w:rsidRDefault="00512B6C" w:rsidP="005A28D7">
      <w:pPr>
        <w:pStyle w:val="Default"/>
        <w:rPr>
          <w:b/>
        </w:rPr>
      </w:pPr>
      <w:r w:rsidRPr="005A28D7">
        <w:rPr>
          <w:b/>
        </w:rPr>
        <w:t xml:space="preserve">Problem </w:t>
      </w:r>
      <w:r w:rsidR="005C4841" w:rsidRPr="005A28D7">
        <w:rPr>
          <w:b/>
        </w:rPr>
        <w:t>1</w:t>
      </w:r>
      <w:r w:rsidR="005A28D7" w:rsidRPr="005A28D7">
        <w:rPr>
          <w:b/>
        </w:rPr>
        <w:t>4.25</w:t>
      </w:r>
    </w:p>
    <w:p w:rsidR="005A28D7" w:rsidRPr="005A28D7" w:rsidRDefault="005A28D7" w:rsidP="005A28D7">
      <w:pPr>
        <w:pStyle w:val="Default"/>
      </w:pPr>
    </w:p>
    <w:p w:rsidR="00D06C47" w:rsidRPr="005A28D7" w:rsidRDefault="005A28D7" w:rsidP="005A28D7">
      <w:pPr>
        <w:pStyle w:val="Default"/>
        <w:rPr>
          <w:color w:val="211D1E"/>
          <w:szCs w:val="18"/>
        </w:rPr>
      </w:pPr>
      <w:r w:rsidRPr="005A28D7">
        <w:rPr>
          <w:color w:val="211D1E"/>
          <w:szCs w:val="18"/>
        </w:rPr>
        <w:t>In water-resources engineering, the sizing of reser</w:t>
      </w:r>
      <w:r w:rsidRPr="005A28D7">
        <w:rPr>
          <w:color w:val="211D1E"/>
          <w:szCs w:val="18"/>
        </w:rPr>
        <w:softHyphen/>
        <w:t>voirs depends on accurate estimates of water flow in the river that is being impounded. For some rivers, long-term historical records of such flow data are difficult to obtain. In contrast, meteorological data on precipitation are often available for many years past. Therefore, it is often useful to determine a relationship between flow and precipitation. This relationship can then be used to estimate flows for years when only precipitation measurements were made. The following data are available for a river that is to be dammed:</w:t>
      </w:r>
    </w:p>
    <w:p w:rsidR="005A28D7" w:rsidRPr="005A28D7" w:rsidRDefault="005A28D7" w:rsidP="005A28D7">
      <w:pPr>
        <w:autoSpaceDE w:val="0"/>
        <w:autoSpaceDN w:val="0"/>
        <w:adjustRightInd w:val="0"/>
        <w:spacing w:after="0" w:line="240" w:lineRule="auto"/>
        <w:rPr>
          <w:rFonts w:ascii="STIX" w:hAnsi="STIX" w:cs="STIX"/>
          <w:color w:val="000000"/>
          <w:sz w:val="24"/>
          <w:szCs w:val="24"/>
        </w:rPr>
      </w:pPr>
    </w:p>
    <w:tbl>
      <w:tblPr>
        <w:tblStyle w:val="TableGrid"/>
        <w:tblW w:w="78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5"/>
        <w:gridCol w:w="690"/>
        <w:gridCol w:w="820"/>
        <w:gridCol w:w="820"/>
        <w:gridCol w:w="820"/>
        <w:gridCol w:w="690"/>
        <w:gridCol w:w="690"/>
        <w:gridCol w:w="820"/>
        <w:gridCol w:w="690"/>
      </w:tblGrid>
      <w:tr w:rsidR="005A28D7" w:rsidRPr="005A28D7" w:rsidTr="005A28D7">
        <w:trPr>
          <w:trHeight w:val="662"/>
        </w:trPr>
        <w:tc>
          <w:tcPr>
            <w:tcW w:w="0" w:type="auto"/>
          </w:tcPr>
          <w:p w:rsidR="005A28D7" w:rsidRPr="005A28D7" w:rsidRDefault="005A28D7" w:rsidP="005A28D7">
            <w:pPr>
              <w:pStyle w:val="Default"/>
              <w:rPr>
                <w:b/>
                <w:bCs/>
                <w:color w:val="211D1E"/>
              </w:rPr>
            </w:pPr>
            <w:r w:rsidRPr="005A28D7">
              <w:rPr>
                <w:b/>
                <w:bCs/>
                <w:color w:val="211D1E"/>
              </w:rPr>
              <w:t>Precip., cm/yr</w:t>
            </w:r>
          </w:p>
        </w:tc>
        <w:tc>
          <w:tcPr>
            <w:tcW w:w="0" w:type="auto"/>
          </w:tcPr>
          <w:p w:rsidR="005A28D7" w:rsidRPr="005A28D7" w:rsidRDefault="005A28D7" w:rsidP="005A28D7">
            <w:pPr>
              <w:pStyle w:val="Default"/>
              <w:rPr>
                <w:color w:val="211D1E"/>
              </w:rPr>
            </w:pPr>
            <w:r w:rsidRPr="005A28D7">
              <w:rPr>
                <w:color w:val="211D1E"/>
              </w:rPr>
              <w:t>88.9</w:t>
            </w:r>
          </w:p>
        </w:tc>
        <w:tc>
          <w:tcPr>
            <w:tcW w:w="0" w:type="auto"/>
          </w:tcPr>
          <w:p w:rsidR="005A28D7" w:rsidRPr="005A28D7" w:rsidRDefault="005A28D7" w:rsidP="005A28D7">
            <w:pPr>
              <w:pStyle w:val="Default"/>
              <w:rPr>
                <w:color w:val="211D1E"/>
              </w:rPr>
            </w:pPr>
            <w:r w:rsidRPr="005A28D7">
              <w:rPr>
                <w:color w:val="211D1E"/>
              </w:rPr>
              <w:t>108.5</w:t>
            </w:r>
          </w:p>
        </w:tc>
        <w:tc>
          <w:tcPr>
            <w:tcW w:w="0" w:type="auto"/>
          </w:tcPr>
          <w:p w:rsidR="005A28D7" w:rsidRPr="005A28D7" w:rsidRDefault="005A28D7" w:rsidP="005A28D7">
            <w:pPr>
              <w:pStyle w:val="Default"/>
              <w:rPr>
                <w:color w:val="211D1E"/>
              </w:rPr>
            </w:pPr>
            <w:r w:rsidRPr="005A28D7">
              <w:rPr>
                <w:color w:val="211D1E"/>
              </w:rPr>
              <w:t>104.1</w:t>
            </w:r>
          </w:p>
        </w:tc>
        <w:tc>
          <w:tcPr>
            <w:tcW w:w="0" w:type="auto"/>
          </w:tcPr>
          <w:p w:rsidR="005A28D7" w:rsidRPr="005A28D7" w:rsidRDefault="005A28D7" w:rsidP="005A28D7">
            <w:pPr>
              <w:pStyle w:val="Default"/>
              <w:rPr>
                <w:color w:val="211D1E"/>
              </w:rPr>
            </w:pPr>
            <w:r w:rsidRPr="005A28D7">
              <w:rPr>
                <w:color w:val="211D1E"/>
              </w:rPr>
              <w:t>139.7</w:t>
            </w:r>
          </w:p>
        </w:tc>
        <w:tc>
          <w:tcPr>
            <w:tcW w:w="0" w:type="auto"/>
          </w:tcPr>
          <w:p w:rsidR="005A28D7" w:rsidRPr="005A28D7" w:rsidRDefault="005A28D7" w:rsidP="005A28D7">
            <w:pPr>
              <w:pStyle w:val="Default"/>
              <w:rPr>
                <w:color w:val="211D1E"/>
              </w:rPr>
            </w:pPr>
            <w:r w:rsidRPr="005A28D7">
              <w:rPr>
                <w:color w:val="211D1E"/>
              </w:rPr>
              <w:t>127</w:t>
            </w:r>
          </w:p>
        </w:tc>
        <w:tc>
          <w:tcPr>
            <w:tcW w:w="0" w:type="auto"/>
          </w:tcPr>
          <w:p w:rsidR="005A28D7" w:rsidRPr="005A28D7" w:rsidRDefault="005A28D7" w:rsidP="005A28D7">
            <w:pPr>
              <w:pStyle w:val="Default"/>
              <w:rPr>
                <w:color w:val="211D1E"/>
              </w:rPr>
            </w:pPr>
            <w:r w:rsidRPr="005A28D7">
              <w:rPr>
                <w:color w:val="211D1E"/>
              </w:rPr>
              <w:t>94</w:t>
            </w:r>
          </w:p>
        </w:tc>
        <w:tc>
          <w:tcPr>
            <w:tcW w:w="0" w:type="auto"/>
          </w:tcPr>
          <w:p w:rsidR="005A28D7" w:rsidRPr="005A28D7" w:rsidRDefault="005A28D7" w:rsidP="005A28D7">
            <w:pPr>
              <w:pStyle w:val="Default"/>
              <w:rPr>
                <w:color w:val="211D1E"/>
              </w:rPr>
            </w:pPr>
            <w:r w:rsidRPr="005A28D7">
              <w:rPr>
                <w:color w:val="211D1E"/>
              </w:rPr>
              <w:t>116.8</w:t>
            </w:r>
          </w:p>
        </w:tc>
        <w:tc>
          <w:tcPr>
            <w:tcW w:w="0" w:type="auto"/>
          </w:tcPr>
          <w:p w:rsidR="005A28D7" w:rsidRPr="005A28D7" w:rsidRDefault="005A28D7" w:rsidP="005A28D7">
            <w:pPr>
              <w:pStyle w:val="Default"/>
              <w:rPr>
                <w:color w:val="211D1E"/>
              </w:rPr>
            </w:pPr>
            <w:r w:rsidRPr="005A28D7">
              <w:rPr>
                <w:color w:val="211D1E"/>
              </w:rPr>
              <w:t>99.1</w:t>
            </w:r>
          </w:p>
        </w:tc>
      </w:tr>
      <w:tr w:rsidR="005A28D7" w:rsidRPr="005A28D7" w:rsidTr="005A28D7">
        <w:trPr>
          <w:trHeight w:val="662"/>
        </w:trPr>
        <w:tc>
          <w:tcPr>
            <w:tcW w:w="0" w:type="auto"/>
          </w:tcPr>
          <w:p w:rsidR="005A28D7" w:rsidRPr="005A28D7" w:rsidRDefault="005A28D7" w:rsidP="005A28D7">
            <w:pPr>
              <w:pStyle w:val="Default"/>
              <w:rPr>
                <w:b/>
                <w:bCs/>
                <w:color w:val="211D1E"/>
              </w:rPr>
            </w:pPr>
            <w:r w:rsidRPr="005A28D7">
              <w:rPr>
                <w:b/>
                <w:bCs/>
                <w:color w:val="211D1E"/>
              </w:rPr>
              <w:t>Flow, m</w:t>
            </w:r>
            <w:r w:rsidRPr="005A28D7">
              <w:rPr>
                <w:b/>
                <w:bCs/>
                <w:color w:val="211D1E"/>
                <w:vertAlign w:val="superscript"/>
              </w:rPr>
              <w:t>3</w:t>
            </w:r>
            <w:r w:rsidRPr="005A28D7">
              <w:rPr>
                <w:b/>
                <w:bCs/>
                <w:color w:val="211D1E"/>
              </w:rPr>
              <w:t>/s</w:t>
            </w:r>
          </w:p>
        </w:tc>
        <w:tc>
          <w:tcPr>
            <w:tcW w:w="0" w:type="auto"/>
          </w:tcPr>
          <w:p w:rsidR="005A28D7" w:rsidRPr="005A28D7" w:rsidRDefault="005A28D7" w:rsidP="005A28D7">
            <w:pPr>
              <w:pStyle w:val="Default"/>
              <w:rPr>
                <w:color w:val="211D1E"/>
              </w:rPr>
            </w:pPr>
            <w:r w:rsidRPr="005A28D7">
              <w:rPr>
                <w:color w:val="211D1E"/>
              </w:rPr>
              <w:t>14.6</w:t>
            </w:r>
          </w:p>
        </w:tc>
        <w:tc>
          <w:tcPr>
            <w:tcW w:w="0" w:type="auto"/>
          </w:tcPr>
          <w:p w:rsidR="005A28D7" w:rsidRPr="005A28D7" w:rsidRDefault="005A28D7" w:rsidP="005A28D7">
            <w:pPr>
              <w:pStyle w:val="Default"/>
              <w:rPr>
                <w:color w:val="211D1E"/>
              </w:rPr>
            </w:pPr>
            <w:r w:rsidRPr="005A28D7">
              <w:rPr>
                <w:color w:val="211D1E"/>
              </w:rPr>
              <w:t>16.7</w:t>
            </w:r>
          </w:p>
        </w:tc>
        <w:tc>
          <w:tcPr>
            <w:tcW w:w="0" w:type="auto"/>
          </w:tcPr>
          <w:p w:rsidR="005A28D7" w:rsidRPr="005A28D7" w:rsidRDefault="005A28D7" w:rsidP="005A28D7">
            <w:pPr>
              <w:pStyle w:val="Default"/>
              <w:rPr>
                <w:color w:val="211D1E"/>
              </w:rPr>
            </w:pPr>
            <w:r w:rsidRPr="005A28D7">
              <w:rPr>
                <w:color w:val="211D1E"/>
              </w:rPr>
              <w:t>15.3</w:t>
            </w:r>
          </w:p>
        </w:tc>
        <w:tc>
          <w:tcPr>
            <w:tcW w:w="0" w:type="auto"/>
          </w:tcPr>
          <w:p w:rsidR="005A28D7" w:rsidRPr="005A28D7" w:rsidRDefault="005A28D7" w:rsidP="005A28D7">
            <w:pPr>
              <w:pStyle w:val="Default"/>
              <w:rPr>
                <w:color w:val="211D1E"/>
              </w:rPr>
            </w:pPr>
            <w:r w:rsidRPr="005A28D7">
              <w:rPr>
                <w:color w:val="211D1E"/>
              </w:rPr>
              <w:t>23.2</w:t>
            </w:r>
          </w:p>
        </w:tc>
        <w:tc>
          <w:tcPr>
            <w:tcW w:w="0" w:type="auto"/>
          </w:tcPr>
          <w:p w:rsidR="005A28D7" w:rsidRPr="005A28D7" w:rsidRDefault="005A28D7" w:rsidP="005A28D7">
            <w:pPr>
              <w:pStyle w:val="Default"/>
              <w:rPr>
                <w:color w:val="211D1E"/>
              </w:rPr>
            </w:pPr>
            <w:r w:rsidRPr="005A28D7">
              <w:rPr>
                <w:color w:val="211D1E"/>
              </w:rPr>
              <w:t>19.5</w:t>
            </w:r>
          </w:p>
        </w:tc>
        <w:tc>
          <w:tcPr>
            <w:tcW w:w="0" w:type="auto"/>
          </w:tcPr>
          <w:p w:rsidR="005A28D7" w:rsidRPr="005A28D7" w:rsidRDefault="005A28D7" w:rsidP="005A28D7">
            <w:pPr>
              <w:pStyle w:val="Default"/>
              <w:rPr>
                <w:color w:val="211D1E"/>
              </w:rPr>
            </w:pPr>
            <w:r w:rsidRPr="005A28D7">
              <w:rPr>
                <w:color w:val="211D1E"/>
              </w:rPr>
              <w:t>16.1</w:t>
            </w:r>
          </w:p>
        </w:tc>
        <w:tc>
          <w:tcPr>
            <w:tcW w:w="0" w:type="auto"/>
          </w:tcPr>
          <w:p w:rsidR="005A28D7" w:rsidRPr="005A28D7" w:rsidRDefault="005A28D7" w:rsidP="005A28D7">
            <w:pPr>
              <w:pStyle w:val="Default"/>
              <w:rPr>
                <w:color w:val="211D1E"/>
              </w:rPr>
            </w:pPr>
            <w:r w:rsidRPr="005A28D7">
              <w:rPr>
                <w:color w:val="211D1E"/>
              </w:rPr>
              <w:t>18.1</w:t>
            </w:r>
          </w:p>
        </w:tc>
        <w:tc>
          <w:tcPr>
            <w:tcW w:w="0" w:type="auto"/>
          </w:tcPr>
          <w:p w:rsidR="005A28D7" w:rsidRPr="005A28D7" w:rsidRDefault="005A28D7" w:rsidP="005A28D7">
            <w:pPr>
              <w:pStyle w:val="Default"/>
              <w:rPr>
                <w:color w:val="211D1E"/>
              </w:rPr>
            </w:pPr>
            <w:r w:rsidRPr="005A28D7">
              <w:rPr>
                <w:color w:val="211D1E"/>
              </w:rPr>
              <w:t>16.6</w:t>
            </w:r>
          </w:p>
        </w:tc>
      </w:tr>
    </w:tbl>
    <w:p w:rsidR="005A28D7" w:rsidRPr="005A28D7" w:rsidRDefault="005A28D7" w:rsidP="005A28D7">
      <w:pPr>
        <w:autoSpaceDE w:val="0"/>
        <w:autoSpaceDN w:val="0"/>
        <w:adjustRightInd w:val="0"/>
        <w:spacing w:after="0" w:line="240" w:lineRule="auto"/>
        <w:rPr>
          <w:rFonts w:ascii="STIX" w:hAnsi="STIX" w:cs="STIX"/>
          <w:color w:val="211D1E"/>
          <w:sz w:val="24"/>
          <w:szCs w:val="18"/>
        </w:rPr>
      </w:pPr>
      <w:r w:rsidRPr="005A28D7">
        <w:rPr>
          <w:rFonts w:ascii="STIX" w:hAnsi="STIX" w:cs="STIX"/>
          <w:b/>
          <w:bCs/>
          <w:color w:val="211D1E"/>
          <w:sz w:val="24"/>
          <w:szCs w:val="18"/>
        </w:rPr>
        <w:t xml:space="preserve">(a) </w:t>
      </w:r>
      <w:r w:rsidRPr="005A28D7">
        <w:rPr>
          <w:rFonts w:ascii="STIX" w:hAnsi="STIX" w:cs="STIX"/>
          <w:color w:val="211D1E"/>
          <w:sz w:val="24"/>
          <w:szCs w:val="18"/>
        </w:rPr>
        <w:t xml:space="preserve">Plot the data. </w:t>
      </w:r>
    </w:p>
    <w:p w:rsidR="005A28D7" w:rsidRPr="005A28D7" w:rsidRDefault="005A28D7" w:rsidP="005A28D7">
      <w:pPr>
        <w:autoSpaceDE w:val="0"/>
        <w:autoSpaceDN w:val="0"/>
        <w:adjustRightInd w:val="0"/>
        <w:spacing w:after="0" w:line="240" w:lineRule="auto"/>
        <w:rPr>
          <w:rFonts w:ascii="STIX" w:hAnsi="STIX" w:cs="STIX"/>
          <w:color w:val="211D1E"/>
          <w:sz w:val="24"/>
          <w:szCs w:val="18"/>
        </w:rPr>
      </w:pPr>
      <w:r w:rsidRPr="005A28D7">
        <w:rPr>
          <w:rFonts w:ascii="STIX" w:hAnsi="STIX" w:cs="STIX"/>
          <w:b/>
          <w:bCs/>
          <w:color w:val="211D1E"/>
          <w:sz w:val="24"/>
          <w:szCs w:val="18"/>
        </w:rPr>
        <w:t xml:space="preserve">(b) </w:t>
      </w:r>
      <w:r w:rsidRPr="005A28D7">
        <w:rPr>
          <w:rFonts w:ascii="STIX" w:hAnsi="STIX" w:cs="STIX"/>
          <w:color w:val="211D1E"/>
          <w:sz w:val="24"/>
          <w:szCs w:val="18"/>
        </w:rPr>
        <w:t xml:space="preserve">Fit a straight line to the data with linear regression. Superimpose this line on your plot. </w:t>
      </w:r>
    </w:p>
    <w:p w:rsidR="005A28D7" w:rsidRPr="005A28D7" w:rsidRDefault="005A28D7" w:rsidP="005A28D7">
      <w:pPr>
        <w:autoSpaceDE w:val="0"/>
        <w:autoSpaceDN w:val="0"/>
        <w:adjustRightInd w:val="0"/>
        <w:spacing w:after="0" w:line="240" w:lineRule="auto"/>
        <w:rPr>
          <w:rFonts w:ascii="STIX" w:hAnsi="STIX" w:cs="STIX"/>
          <w:color w:val="211D1E"/>
          <w:sz w:val="24"/>
          <w:szCs w:val="18"/>
        </w:rPr>
      </w:pPr>
      <w:r w:rsidRPr="005A28D7">
        <w:rPr>
          <w:rFonts w:ascii="STIX" w:hAnsi="STIX" w:cs="STIX"/>
          <w:b/>
          <w:bCs/>
          <w:color w:val="211D1E"/>
          <w:sz w:val="24"/>
          <w:szCs w:val="18"/>
        </w:rPr>
        <w:t xml:space="preserve">(c) </w:t>
      </w:r>
      <w:r w:rsidRPr="005A28D7">
        <w:rPr>
          <w:rFonts w:ascii="STIX" w:hAnsi="STIX" w:cs="STIX"/>
          <w:color w:val="211D1E"/>
          <w:sz w:val="24"/>
          <w:szCs w:val="18"/>
        </w:rPr>
        <w:t xml:space="preserve">Use the best-fit line to predict the annual water flow if the precipitation is 120 cm. </w:t>
      </w:r>
    </w:p>
    <w:p w:rsidR="005A28D7" w:rsidRPr="005A28D7" w:rsidRDefault="005A28D7" w:rsidP="005A28D7">
      <w:pPr>
        <w:autoSpaceDE w:val="0"/>
        <w:autoSpaceDN w:val="0"/>
        <w:adjustRightInd w:val="0"/>
        <w:spacing w:after="0" w:line="240" w:lineRule="auto"/>
        <w:rPr>
          <w:rFonts w:ascii="STIX" w:hAnsi="STIX" w:cs="STIX"/>
          <w:color w:val="211D1E"/>
          <w:sz w:val="24"/>
          <w:szCs w:val="18"/>
        </w:rPr>
      </w:pPr>
      <w:r w:rsidRPr="005A28D7">
        <w:rPr>
          <w:rFonts w:ascii="STIX" w:hAnsi="STIX" w:cs="STIX"/>
          <w:b/>
          <w:bCs/>
          <w:color w:val="211D1E"/>
          <w:sz w:val="24"/>
          <w:szCs w:val="18"/>
        </w:rPr>
        <w:t xml:space="preserve">(d) </w:t>
      </w:r>
      <w:r w:rsidRPr="005A28D7">
        <w:rPr>
          <w:rFonts w:ascii="STIX" w:hAnsi="STIX" w:cs="STIX"/>
          <w:color w:val="211D1E"/>
          <w:sz w:val="24"/>
          <w:szCs w:val="18"/>
        </w:rPr>
        <w:t>If the drainage area is 1100 km</w:t>
      </w:r>
      <w:r w:rsidRPr="005A28D7">
        <w:rPr>
          <w:rFonts w:ascii="STIX" w:hAnsi="STIX" w:cs="STIX"/>
          <w:color w:val="211D1E"/>
          <w:sz w:val="32"/>
          <w:vertAlign w:val="superscript"/>
        </w:rPr>
        <w:t>2</w:t>
      </w:r>
      <w:r w:rsidRPr="005A28D7">
        <w:rPr>
          <w:rFonts w:ascii="STIX" w:hAnsi="STIX" w:cs="STIX"/>
          <w:color w:val="211D1E"/>
          <w:sz w:val="24"/>
          <w:szCs w:val="18"/>
        </w:rPr>
        <w:t>, estimate what fraction of the precipitation is lost via processes such as evapo</w:t>
      </w:r>
      <w:r w:rsidRPr="005A28D7">
        <w:rPr>
          <w:rFonts w:ascii="STIX" w:hAnsi="STIX" w:cs="STIX"/>
          <w:color w:val="211D1E"/>
          <w:sz w:val="24"/>
          <w:szCs w:val="18"/>
        </w:rPr>
        <w:softHyphen/>
        <w:t>ration, deep groundwater infiltration, and consumptive use.</w:t>
      </w:r>
    </w:p>
    <w:p w:rsidR="005A28D7" w:rsidRPr="005A28D7" w:rsidRDefault="005A28D7" w:rsidP="005A28D7">
      <w:pPr>
        <w:pStyle w:val="Default"/>
        <w:rPr>
          <w:color w:val="211D1E"/>
        </w:rPr>
      </w:pPr>
    </w:p>
    <w:sectPr w:rsidR="005A28D7" w:rsidRPr="005A28D7"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164</Words>
  <Characters>937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2017-03-18T21:43:00Z</dcterms:created>
  <dcterms:modified xsi:type="dcterms:W3CDTF">2017-03-18T21:43:00Z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