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64DCA" w:rsidRDefault="00512B6C" w:rsidP="00B64DCA">
      <w:pPr>
        <w:pStyle w:val="Default"/>
        <w:rPr>
          <w:b/>
        </w:rPr>
      </w:pPr>
      <w:r w:rsidRPr="00B64DCA">
        <w:rPr>
          <w:b/>
        </w:rPr>
        <w:t xml:space="preserve">Problem </w:t>
      </w:r>
      <w:r w:rsidR="005C4841" w:rsidRPr="00B64DCA">
        <w:rPr>
          <w:b/>
        </w:rPr>
        <w:t>1</w:t>
      </w:r>
      <w:r w:rsidR="00B64DCA">
        <w:rPr>
          <w:b/>
        </w:rPr>
        <w:t>4.37</w:t>
      </w:r>
    </w:p>
    <w:p w:rsidR="00B64DCA" w:rsidRPr="00B64DCA" w:rsidRDefault="00B64DCA" w:rsidP="00B64DCA">
      <w:pPr>
        <w:autoSpaceDE w:val="0"/>
        <w:autoSpaceDN w:val="0"/>
        <w:adjustRightInd w:val="0"/>
        <w:spacing w:after="0" w:line="240" w:lineRule="auto"/>
        <w:rPr>
          <w:rFonts w:ascii="STIX" w:hAnsi="STIX" w:cs="STIX"/>
          <w:color w:val="000000"/>
          <w:sz w:val="24"/>
          <w:szCs w:val="24"/>
        </w:rPr>
      </w:pPr>
    </w:p>
    <w:p w:rsidR="00B64DCA" w:rsidRPr="00B64DCA" w:rsidRDefault="00B64DCA" w:rsidP="00B64DCA">
      <w:pPr>
        <w:autoSpaceDE w:val="0"/>
        <w:autoSpaceDN w:val="0"/>
        <w:adjustRightInd w:val="0"/>
        <w:spacing w:after="0" w:line="180" w:lineRule="atLeast"/>
        <w:rPr>
          <w:rFonts w:ascii="STIX" w:hAnsi="STIX" w:cs="STIX"/>
          <w:color w:val="211D1E"/>
          <w:sz w:val="24"/>
          <w:szCs w:val="18"/>
        </w:rPr>
      </w:pPr>
      <w:r w:rsidRPr="00B64DCA">
        <w:rPr>
          <w:rFonts w:ascii="STIX" w:hAnsi="STIX" w:cs="STIX"/>
          <w:color w:val="211D1E"/>
          <w:sz w:val="24"/>
          <w:szCs w:val="18"/>
        </w:rPr>
        <w:t>Beyond the examples in Fig. 14.13, there are other models that can be linearized using transformations. For ex</w:t>
      </w:r>
      <w:r w:rsidRPr="00B64DCA">
        <w:rPr>
          <w:rFonts w:ascii="STIX" w:hAnsi="STIX" w:cs="STIX"/>
          <w:color w:val="211D1E"/>
          <w:sz w:val="24"/>
          <w:szCs w:val="18"/>
        </w:rPr>
        <w:softHyphen/>
        <w:t xml:space="preserve">ample, the following model applies to third-order chemical reactions in batch reactors </w:t>
      </w:r>
    </w:p>
    <w:p w:rsidR="00B64DCA" w:rsidRDefault="00B64DCA" w:rsidP="00B64DCA">
      <w:pPr>
        <w:autoSpaceDE w:val="0"/>
        <w:autoSpaceDN w:val="0"/>
        <w:adjustRightInd w:val="0"/>
        <w:spacing w:after="0" w:line="240" w:lineRule="auto"/>
        <w:jc w:val="center"/>
        <w:rPr>
          <w:rFonts w:ascii="STIX" w:hAnsi="STIX" w:cs="STIX"/>
          <w:color w:val="211D1E"/>
          <w:sz w:val="24"/>
          <w:szCs w:val="18"/>
        </w:rPr>
      </w:pPr>
      <w:r w:rsidRPr="00B64DCA">
        <w:rPr>
          <w:rFonts w:ascii="STIX" w:hAnsi="STIX" w:cs="STIX"/>
          <w:color w:val="211D1E"/>
          <w:position w:val="-38"/>
          <w:sz w:val="24"/>
          <w:szCs w:val="18"/>
        </w:rPr>
        <w:object w:dxaOrig="176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87.75pt;height:39pt" o:ole="">
            <v:imagedata r:id="rId7" o:title=""/>
          </v:shape>
          <o:OLEObject Type="Embed" ProgID="Equation.DSMT4" ShapeID="_x0000_i1086" DrawAspect="Content" ObjectID="_1551359666" r:id="rId8"/>
        </w:object>
      </w:r>
      <w:r>
        <w:rPr>
          <w:rFonts w:ascii="STIX" w:hAnsi="STIX" w:cs="STIX"/>
          <w:color w:val="211D1E"/>
          <w:sz w:val="24"/>
          <w:szCs w:val="18"/>
        </w:rPr>
        <w:t xml:space="preserve"> </w:t>
      </w:r>
    </w:p>
    <w:p w:rsidR="00B64DCA" w:rsidRPr="00B64DCA" w:rsidRDefault="00B64DCA" w:rsidP="00B64DCA">
      <w:pPr>
        <w:autoSpaceDE w:val="0"/>
        <w:autoSpaceDN w:val="0"/>
        <w:adjustRightInd w:val="0"/>
        <w:spacing w:after="0" w:line="240" w:lineRule="auto"/>
        <w:rPr>
          <w:rFonts w:ascii="STIX" w:hAnsi="STIX" w:cs="STIX"/>
          <w:color w:val="211D1E"/>
          <w:sz w:val="24"/>
          <w:szCs w:val="18"/>
        </w:rPr>
      </w:pPr>
      <w:r w:rsidRPr="00B64DCA">
        <w:rPr>
          <w:rFonts w:ascii="STIX" w:hAnsi="STIX" w:cs="STIX"/>
          <w:color w:val="211D1E"/>
          <w:sz w:val="24"/>
          <w:szCs w:val="18"/>
        </w:rPr>
        <w:t xml:space="preserve">where </w:t>
      </w:r>
      <w:r w:rsidRPr="00B64DCA">
        <w:rPr>
          <w:rFonts w:ascii="STIX" w:hAnsi="STIX" w:cs="STIX"/>
          <w:i/>
          <w:iCs/>
          <w:color w:val="211D1E"/>
          <w:sz w:val="24"/>
          <w:szCs w:val="18"/>
        </w:rPr>
        <w:t xml:space="preserve">c </w:t>
      </w:r>
      <w:r w:rsidRPr="00B64DCA">
        <w:rPr>
          <w:rFonts w:ascii="STIX" w:hAnsi="STIX" w:cs="STIX"/>
          <w:color w:val="211D1E"/>
          <w:sz w:val="24"/>
          <w:szCs w:val="18"/>
        </w:rPr>
        <w:t xml:space="preserve">= concentration (mg/L), </w:t>
      </w:r>
      <w:r w:rsidRPr="00B64DCA">
        <w:rPr>
          <w:rFonts w:ascii="STIX" w:hAnsi="STIX" w:cs="STIX"/>
          <w:i/>
          <w:iCs/>
          <w:color w:val="211D1E"/>
          <w:sz w:val="24"/>
          <w:szCs w:val="18"/>
        </w:rPr>
        <w:t>c</w:t>
      </w:r>
      <w:r w:rsidRPr="00B64DCA">
        <w:rPr>
          <w:rFonts w:ascii="STIX" w:hAnsi="STIX" w:cs="STIX"/>
          <w:color w:val="211D1E"/>
          <w:sz w:val="32"/>
          <w:vertAlign w:val="subscript"/>
        </w:rPr>
        <w:t xml:space="preserve">0 </w:t>
      </w:r>
      <w:r w:rsidRPr="00B64DCA">
        <w:rPr>
          <w:rFonts w:ascii="STIX" w:hAnsi="STIX" w:cs="STIX"/>
          <w:color w:val="211D1E"/>
          <w:sz w:val="24"/>
          <w:szCs w:val="18"/>
        </w:rPr>
        <w:t xml:space="preserve">= initial concentration (mg/L), </w:t>
      </w:r>
      <w:r w:rsidRPr="00B64DCA">
        <w:rPr>
          <w:rFonts w:ascii="STIX" w:hAnsi="STIX" w:cs="STIX"/>
          <w:i/>
          <w:iCs/>
          <w:color w:val="211D1E"/>
          <w:sz w:val="24"/>
          <w:szCs w:val="18"/>
        </w:rPr>
        <w:t xml:space="preserve">k </w:t>
      </w:r>
      <w:r w:rsidRPr="00B64DCA">
        <w:rPr>
          <w:rFonts w:ascii="STIX" w:hAnsi="STIX" w:cs="STIX"/>
          <w:color w:val="211D1E"/>
          <w:sz w:val="24"/>
          <w:szCs w:val="18"/>
        </w:rPr>
        <w:t xml:space="preserve">= reaction rate </w:t>
      </w:r>
      <w:r>
        <w:rPr>
          <w:rFonts w:ascii="STIX" w:hAnsi="STIX" w:cs="STIX"/>
          <w:color w:val="211D1E"/>
          <w:sz w:val="24"/>
          <w:szCs w:val="18"/>
        </w:rPr>
        <w:br w:type="textWrapping" w:clear="all"/>
      </w:r>
      <w:r w:rsidRPr="00B64DCA">
        <w:rPr>
          <w:rFonts w:ascii="STIX" w:hAnsi="STIX" w:cs="STIX"/>
          <w:color w:val="211D1E"/>
          <w:sz w:val="24"/>
          <w:szCs w:val="18"/>
        </w:rPr>
        <w:t>(L</w:t>
      </w:r>
      <w:r w:rsidRPr="00B64DCA">
        <w:rPr>
          <w:rFonts w:ascii="STIX" w:hAnsi="STIX" w:cs="STIX"/>
          <w:color w:val="211D1E"/>
          <w:sz w:val="32"/>
          <w:vertAlign w:val="superscript"/>
        </w:rPr>
        <w:t>2</w:t>
      </w:r>
      <w:r w:rsidRPr="00B64DCA">
        <w:rPr>
          <w:rFonts w:ascii="STIX" w:hAnsi="STIX" w:cs="STIX"/>
          <w:color w:val="211D1E"/>
          <w:sz w:val="24"/>
          <w:szCs w:val="18"/>
        </w:rPr>
        <w:t>/(mg</w:t>
      </w:r>
      <w:r w:rsidRPr="00B64DCA">
        <w:rPr>
          <w:rFonts w:ascii="STIX" w:hAnsi="STIX" w:cs="STIX"/>
          <w:color w:val="211D1E"/>
          <w:sz w:val="32"/>
          <w:vertAlign w:val="superscript"/>
        </w:rPr>
        <w:t>2</w:t>
      </w:r>
      <w:r w:rsidRPr="00B64DCA">
        <w:rPr>
          <w:rFonts w:ascii="STIX" w:hAnsi="STIX" w:cs="STIX"/>
          <w:color w:val="211D1E"/>
          <w:sz w:val="24"/>
        </w:rPr>
        <w:t xml:space="preserve"> </w:t>
      </w:r>
      <w:r w:rsidRPr="00B64DCA">
        <w:rPr>
          <w:rFonts w:ascii="STIX" w:hAnsi="STIX" w:cs="STIX"/>
          <w:color w:val="211D1E"/>
          <w:sz w:val="24"/>
          <w:szCs w:val="18"/>
        </w:rPr>
        <w:t xml:space="preserve">d)), and </w:t>
      </w:r>
      <w:r w:rsidRPr="00B64DCA">
        <w:rPr>
          <w:rFonts w:ascii="STIX" w:hAnsi="STIX" w:cs="STIX"/>
          <w:i/>
          <w:iCs/>
          <w:color w:val="211D1E"/>
          <w:sz w:val="24"/>
          <w:szCs w:val="18"/>
        </w:rPr>
        <w:t xml:space="preserve">t </w:t>
      </w:r>
      <w:r w:rsidRPr="00B64DCA">
        <w:rPr>
          <w:rFonts w:ascii="STIX" w:hAnsi="STIX" w:cs="STIX"/>
          <w:color w:val="211D1E"/>
          <w:sz w:val="24"/>
          <w:szCs w:val="18"/>
        </w:rPr>
        <w:t>= time (d). Lin</w:t>
      </w:r>
      <w:r w:rsidRPr="00B64DCA">
        <w:rPr>
          <w:rFonts w:ascii="STIX" w:hAnsi="STIX" w:cs="STIX"/>
          <w:color w:val="211D1E"/>
          <w:sz w:val="24"/>
          <w:szCs w:val="18"/>
        </w:rPr>
        <w:softHyphen/>
        <w:t xml:space="preserve">earize this model and use it to estimate </w:t>
      </w:r>
      <w:r w:rsidRPr="00B64DCA">
        <w:rPr>
          <w:rFonts w:ascii="STIX" w:hAnsi="STIX" w:cs="STIX"/>
          <w:i/>
          <w:iCs/>
          <w:color w:val="211D1E"/>
          <w:sz w:val="24"/>
          <w:szCs w:val="18"/>
        </w:rPr>
        <w:t xml:space="preserve">k </w:t>
      </w:r>
      <w:r w:rsidRPr="00B64DCA">
        <w:rPr>
          <w:rFonts w:ascii="STIX" w:hAnsi="STIX" w:cs="STIX"/>
          <w:color w:val="211D1E"/>
          <w:sz w:val="24"/>
          <w:szCs w:val="18"/>
        </w:rPr>
        <w:t xml:space="preserve">and </w:t>
      </w:r>
      <w:r w:rsidRPr="00B64DCA">
        <w:rPr>
          <w:rFonts w:ascii="STIX" w:hAnsi="STIX" w:cs="STIX"/>
          <w:i/>
          <w:iCs/>
          <w:color w:val="211D1E"/>
          <w:sz w:val="24"/>
          <w:szCs w:val="18"/>
        </w:rPr>
        <w:t>c</w:t>
      </w:r>
      <w:r w:rsidRPr="00B64DCA">
        <w:rPr>
          <w:rFonts w:ascii="STIX" w:hAnsi="STIX" w:cs="STIX"/>
          <w:color w:val="211D1E"/>
          <w:sz w:val="32"/>
          <w:vertAlign w:val="subscript"/>
        </w:rPr>
        <w:t>0</w:t>
      </w:r>
      <w:r w:rsidRPr="00B64DCA">
        <w:rPr>
          <w:rFonts w:ascii="STIX" w:hAnsi="STIX" w:cs="STIX"/>
          <w:color w:val="211D1E"/>
          <w:sz w:val="24"/>
        </w:rPr>
        <w:t xml:space="preserve"> </w:t>
      </w:r>
      <w:r w:rsidRPr="00B64DCA">
        <w:rPr>
          <w:rFonts w:ascii="STIX" w:hAnsi="STIX" w:cs="STIX"/>
          <w:color w:val="211D1E"/>
          <w:sz w:val="24"/>
          <w:szCs w:val="18"/>
        </w:rPr>
        <w:t>based on the following data. Develop plots of your fit along with the data for both the transformed, linearized form and the untrans</w:t>
      </w:r>
      <w:r w:rsidRPr="00B64DCA">
        <w:rPr>
          <w:rFonts w:ascii="STIX" w:hAnsi="STIX" w:cs="STIX"/>
          <w:color w:val="211D1E"/>
          <w:sz w:val="24"/>
          <w:szCs w:val="18"/>
        </w:rPr>
        <w:softHyphen/>
        <w:t>formed form.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
        <w:gridCol w:w="957"/>
        <w:gridCol w:w="957"/>
        <w:gridCol w:w="957"/>
        <w:gridCol w:w="958"/>
        <w:gridCol w:w="958"/>
        <w:gridCol w:w="958"/>
        <w:gridCol w:w="958"/>
        <w:gridCol w:w="958"/>
      </w:tblGrid>
      <w:tr w:rsidR="00B64DCA" w:rsidRPr="00B64DCA" w:rsidTr="00B64DCA">
        <w:tc>
          <w:tcPr>
            <w:tcW w:w="957" w:type="dxa"/>
          </w:tcPr>
          <w:p w:rsidR="00B64DCA" w:rsidRPr="00B64DCA" w:rsidRDefault="00B64DCA" w:rsidP="00BC427E">
            <w:pPr>
              <w:autoSpaceDE w:val="0"/>
              <w:autoSpaceDN w:val="0"/>
              <w:adjustRightInd w:val="0"/>
              <w:spacing w:after="0" w:line="240" w:lineRule="auto"/>
              <w:rPr>
                <w:rFonts w:ascii="STIX" w:hAnsi="STIX" w:cs="STIX"/>
                <w:b/>
                <w:bCs/>
                <w:i/>
                <w:iCs/>
                <w:color w:val="211D1E"/>
                <w:sz w:val="24"/>
                <w:szCs w:val="24"/>
              </w:rPr>
            </w:pPr>
            <w:r w:rsidRPr="00B64DCA">
              <w:rPr>
                <w:rFonts w:ascii="STIX" w:hAnsi="STIX" w:cs="STIX"/>
                <w:b/>
                <w:bCs/>
                <w:i/>
                <w:iCs/>
                <w:color w:val="211D1E"/>
                <w:sz w:val="24"/>
                <w:szCs w:val="24"/>
              </w:rPr>
              <w:t>t</w:t>
            </w:r>
          </w:p>
        </w:tc>
        <w:tc>
          <w:tcPr>
            <w:tcW w:w="957"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0</w:t>
            </w:r>
          </w:p>
        </w:tc>
        <w:tc>
          <w:tcPr>
            <w:tcW w:w="957"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0.5</w:t>
            </w:r>
          </w:p>
        </w:tc>
        <w:tc>
          <w:tcPr>
            <w:tcW w:w="957"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1</w:t>
            </w:r>
          </w:p>
        </w:tc>
        <w:tc>
          <w:tcPr>
            <w:tcW w:w="958"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1.5</w:t>
            </w:r>
          </w:p>
        </w:tc>
        <w:tc>
          <w:tcPr>
            <w:tcW w:w="958"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2</w:t>
            </w:r>
          </w:p>
        </w:tc>
        <w:tc>
          <w:tcPr>
            <w:tcW w:w="958"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3</w:t>
            </w:r>
          </w:p>
        </w:tc>
        <w:tc>
          <w:tcPr>
            <w:tcW w:w="958"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4</w:t>
            </w:r>
          </w:p>
        </w:tc>
        <w:tc>
          <w:tcPr>
            <w:tcW w:w="958"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5</w:t>
            </w:r>
          </w:p>
        </w:tc>
      </w:tr>
      <w:tr w:rsidR="00B64DCA" w:rsidRPr="00B64DCA" w:rsidTr="00B64DCA">
        <w:tc>
          <w:tcPr>
            <w:tcW w:w="957" w:type="dxa"/>
          </w:tcPr>
          <w:p w:rsidR="00B64DCA" w:rsidRPr="00B64DCA" w:rsidRDefault="00B64DCA" w:rsidP="00BC427E">
            <w:pPr>
              <w:autoSpaceDE w:val="0"/>
              <w:autoSpaceDN w:val="0"/>
              <w:adjustRightInd w:val="0"/>
              <w:spacing w:after="0" w:line="240" w:lineRule="auto"/>
              <w:rPr>
                <w:rFonts w:ascii="STIX" w:hAnsi="STIX" w:cs="STIX"/>
                <w:b/>
                <w:bCs/>
                <w:i/>
                <w:iCs/>
                <w:color w:val="211D1E"/>
                <w:sz w:val="24"/>
                <w:szCs w:val="24"/>
              </w:rPr>
            </w:pPr>
            <w:r w:rsidRPr="00B64DCA">
              <w:rPr>
                <w:rFonts w:ascii="STIX" w:hAnsi="STIX" w:cs="STIX"/>
                <w:b/>
                <w:bCs/>
                <w:i/>
                <w:iCs/>
                <w:color w:val="211D1E"/>
                <w:sz w:val="24"/>
                <w:szCs w:val="24"/>
              </w:rPr>
              <w:t>c</w:t>
            </w:r>
          </w:p>
        </w:tc>
        <w:tc>
          <w:tcPr>
            <w:tcW w:w="957"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3.26</w:t>
            </w:r>
          </w:p>
        </w:tc>
        <w:tc>
          <w:tcPr>
            <w:tcW w:w="957"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2.09</w:t>
            </w:r>
          </w:p>
        </w:tc>
        <w:tc>
          <w:tcPr>
            <w:tcW w:w="957"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1.62</w:t>
            </w:r>
          </w:p>
        </w:tc>
        <w:tc>
          <w:tcPr>
            <w:tcW w:w="958"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1.48</w:t>
            </w:r>
          </w:p>
        </w:tc>
        <w:tc>
          <w:tcPr>
            <w:tcW w:w="958"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1.17</w:t>
            </w:r>
          </w:p>
        </w:tc>
        <w:tc>
          <w:tcPr>
            <w:tcW w:w="958"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1.06</w:t>
            </w:r>
          </w:p>
        </w:tc>
        <w:tc>
          <w:tcPr>
            <w:tcW w:w="958"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0.9</w:t>
            </w:r>
          </w:p>
        </w:tc>
        <w:tc>
          <w:tcPr>
            <w:tcW w:w="958" w:type="dxa"/>
          </w:tcPr>
          <w:p w:rsidR="00B64DCA" w:rsidRPr="00B64DCA" w:rsidRDefault="00B64DCA" w:rsidP="00BC427E">
            <w:pPr>
              <w:autoSpaceDE w:val="0"/>
              <w:autoSpaceDN w:val="0"/>
              <w:adjustRightInd w:val="0"/>
              <w:spacing w:after="0" w:line="240" w:lineRule="auto"/>
              <w:rPr>
                <w:rFonts w:ascii="STIX" w:hAnsi="STIX" w:cs="STIX"/>
                <w:color w:val="211D1E"/>
                <w:sz w:val="24"/>
                <w:szCs w:val="24"/>
              </w:rPr>
            </w:pPr>
            <w:r w:rsidRPr="00B64DCA">
              <w:rPr>
                <w:rFonts w:ascii="STIX" w:hAnsi="STIX" w:cs="STIX"/>
                <w:color w:val="211D1E"/>
                <w:sz w:val="24"/>
                <w:szCs w:val="24"/>
              </w:rPr>
              <w:t>0.85</w:t>
            </w:r>
          </w:p>
        </w:tc>
      </w:tr>
    </w:tbl>
    <w:p w:rsidR="00B64DCA" w:rsidRPr="00B64DCA" w:rsidRDefault="00B64DCA" w:rsidP="00B64DCA">
      <w:pPr>
        <w:autoSpaceDE w:val="0"/>
        <w:autoSpaceDN w:val="0"/>
        <w:adjustRightInd w:val="0"/>
        <w:spacing w:after="0" w:line="240" w:lineRule="auto"/>
        <w:rPr>
          <w:rFonts w:ascii="STIX" w:hAnsi="STIX" w:cs="STIX"/>
          <w:sz w:val="24"/>
          <w:szCs w:val="24"/>
        </w:rPr>
      </w:pPr>
      <w:r>
        <w:rPr>
          <w:rFonts w:ascii="STIX" w:hAnsi="STIX" w:cs="STIX"/>
          <w:noProof/>
          <w:sz w:val="24"/>
          <w:szCs w:val="24"/>
        </w:rPr>
        <w:drawing>
          <wp:anchor distT="0" distB="0" distL="114300" distR="114300" simplePos="0" relativeHeight="251658240" behindDoc="0" locked="0" layoutInCell="1" allowOverlap="1">
            <wp:simplePos x="0" y="0"/>
            <wp:positionH relativeFrom="column">
              <wp:posOffset>85725</wp:posOffset>
            </wp:positionH>
            <wp:positionV relativeFrom="paragraph">
              <wp:posOffset>178435</wp:posOffset>
            </wp:positionV>
            <wp:extent cx="5391150" cy="4486275"/>
            <wp:effectExtent l="1905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srcRect/>
                    <a:stretch>
                      <a:fillRect/>
                    </a:stretch>
                  </pic:blipFill>
                  <pic:spPr bwMode="auto">
                    <a:xfrm>
                      <a:off x="0" y="0"/>
                      <a:ext cx="5391150" cy="4486275"/>
                    </a:xfrm>
                    <a:prstGeom prst="rect">
                      <a:avLst/>
                    </a:prstGeom>
                    <a:noFill/>
                    <a:ln w="9525">
                      <a:noFill/>
                      <a:miter lim="800000"/>
                      <a:headEnd/>
                      <a:tailEnd/>
                    </a:ln>
                  </pic:spPr>
                </pic:pic>
              </a:graphicData>
            </a:graphic>
          </wp:anchor>
        </w:drawing>
      </w:r>
    </w:p>
    <w:sectPr w:rsidR="00B64DCA" w:rsidRPr="00B64DCA" w:rsidSect="006838AF">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93</Words>
  <Characters>535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2017-03-18T22:27:00Z</dcterms:created>
  <dcterms:modified xsi:type="dcterms:W3CDTF">2017-03-18T22:27:00Z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