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32FF9" w:rsidRDefault="00512B6C" w:rsidP="00132FF9">
      <w:pPr>
        <w:pStyle w:val="Default"/>
        <w:rPr>
          <w:b/>
        </w:rPr>
      </w:pPr>
      <w:r w:rsidRPr="00132FF9">
        <w:rPr>
          <w:b/>
        </w:rPr>
        <w:t xml:space="preserve">Problem </w:t>
      </w:r>
      <w:r w:rsidR="005C4841" w:rsidRPr="00132FF9">
        <w:rPr>
          <w:b/>
        </w:rPr>
        <w:t>1</w:t>
      </w:r>
      <w:r w:rsidR="00132FF9" w:rsidRPr="00132FF9">
        <w:rPr>
          <w:b/>
        </w:rPr>
        <w:t>4.42</w:t>
      </w:r>
    </w:p>
    <w:p w:rsidR="00132FF9" w:rsidRPr="00132FF9" w:rsidRDefault="00132FF9" w:rsidP="00132FF9">
      <w:pPr>
        <w:pStyle w:val="Default"/>
      </w:pPr>
    </w:p>
    <w:p w:rsidR="00B32AA3" w:rsidRDefault="00132FF9" w:rsidP="00132FF9">
      <w:pPr>
        <w:pStyle w:val="Default"/>
        <w:rPr>
          <w:color w:val="211D1E"/>
          <w:szCs w:val="18"/>
        </w:rPr>
      </w:pPr>
      <w:r w:rsidRPr="00132FF9">
        <w:rPr>
          <w:color w:val="211D1E"/>
          <w:szCs w:val="18"/>
        </w:rPr>
        <w:t>The table below shows the 2015 world record times and holders for outdoor running. Note that all but the 100 m and the marathon (42,195 m) are run on oval tracks.</w:t>
      </w:r>
    </w:p>
    <w:p w:rsidR="00132FF9" w:rsidRPr="00132FF9" w:rsidRDefault="00132FF9" w:rsidP="00132FF9">
      <w:pPr>
        <w:autoSpaceDE w:val="0"/>
        <w:autoSpaceDN w:val="0"/>
        <w:adjustRightInd w:val="0"/>
        <w:spacing w:after="0" w:line="240" w:lineRule="auto"/>
        <w:rPr>
          <w:rFonts w:ascii="Proxima Nova Rg" w:hAnsi="Proxima Nova Rg" w:cs="Proxima Nova Rg"/>
          <w:color w:val="000000"/>
          <w:sz w:val="24"/>
          <w:szCs w:val="24"/>
        </w:rPr>
      </w:pPr>
    </w:p>
    <w:tbl>
      <w:tblPr>
        <w:tblW w:w="0" w:type="auto"/>
        <w:tblBorders>
          <w:top w:val="nil"/>
          <w:left w:val="nil"/>
          <w:bottom w:val="nil"/>
          <w:right w:val="nil"/>
        </w:tblBorders>
        <w:tblLayout w:type="fixed"/>
        <w:tblLook w:val="0000"/>
      </w:tblPr>
      <w:tblGrid>
        <w:gridCol w:w="1843"/>
        <w:gridCol w:w="1843"/>
        <w:gridCol w:w="1843"/>
        <w:gridCol w:w="1843"/>
        <w:gridCol w:w="1843"/>
      </w:tblGrid>
      <w:tr w:rsidR="00132FF9" w:rsidRPr="00132FF9" w:rsidTr="00132FF9">
        <w:tblPrEx>
          <w:tblCellMar>
            <w:top w:w="0" w:type="dxa"/>
            <w:bottom w:w="0" w:type="dxa"/>
          </w:tblCellMar>
        </w:tblPrEx>
        <w:trPr>
          <w:trHeight w:val="126"/>
        </w:trPr>
        <w:tc>
          <w:tcPr>
            <w:tcW w:w="1843" w:type="dxa"/>
          </w:tcPr>
          <w:p w:rsidR="00132FF9" w:rsidRPr="00132FF9" w:rsidRDefault="00132FF9" w:rsidP="00132FF9">
            <w:pPr>
              <w:autoSpaceDE w:val="0"/>
              <w:autoSpaceDN w:val="0"/>
              <w:adjustRightInd w:val="0"/>
              <w:spacing w:before="280" w:after="160" w:line="160" w:lineRule="atLeast"/>
              <w:jc w:val="center"/>
              <w:rPr>
                <w:rFonts w:ascii="STIX" w:hAnsi="STIX" w:cs="STIX"/>
                <w:color w:val="211D1E"/>
                <w:sz w:val="24"/>
                <w:szCs w:val="24"/>
              </w:rPr>
            </w:pPr>
            <w:r w:rsidRPr="00132FF9">
              <w:rPr>
                <w:rFonts w:ascii="STIX" w:hAnsi="STIX" w:cs="STIX"/>
                <w:b/>
                <w:bCs/>
                <w:color w:val="211D1E"/>
                <w:sz w:val="24"/>
                <w:szCs w:val="24"/>
              </w:rPr>
              <w:t>Event (m)</w:t>
            </w:r>
          </w:p>
        </w:tc>
        <w:tc>
          <w:tcPr>
            <w:tcW w:w="1843" w:type="dxa"/>
          </w:tcPr>
          <w:p w:rsidR="00132FF9" w:rsidRPr="00132FF9" w:rsidRDefault="00132FF9" w:rsidP="00132FF9">
            <w:pPr>
              <w:autoSpaceDE w:val="0"/>
              <w:autoSpaceDN w:val="0"/>
              <w:adjustRightInd w:val="0"/>
              <w:spacing w:before="280" w:after="160" w:line="160" w:lineRule="atLeast"/>
              <w:jc w:val="center"/>
              <w:rPr>
                <w:rFonts w:ascii="STIX" w:hAnsi="STIX" w:cs="STIX"/>
                <w:color w:val="211D1E"/>
                <w:sz w:val="24"/>
                <w:szCs w:val="24"/>
              </w:rPr>
            </w:pPr>
            <w:r w:rsidRPr="00132FF9">
              <w:rPr>
                <w:rFonts w:ascii="STIX" w:hAnsi="STIX" w:cs="STIX"/>
                <w:b/>
                <w:bCs/>
                <w:color w:val="211D1E"/>
                <w:sz w:val="24"/>
                <w:szCs w:val="24"/>
              </w:rPr>
              <w:t>Time (s)</w:t>
            </w:r>
          </w:p>
        </w:tc>
        <w:tc>
          <w:tcPr>
            <w:tcW w:w="1843" w:type="dxa"/>
          </w:tcPr>
          <w:p w:rsidR="00132FF9" w:rsidRPr="00132FF9" w:rsidRDefault="00132FF9" w:rsidP="00132FF9">
            <w:pPr>
              <w:autoSpaceDE w:val="0"/>
              <w:autoSpaceDN w:val="0"/>
              <w:adjustRightInd w:val="0"/>
              <w:spacing w:before="280" w:after="160" w:line="160" w:lineRule="atLeast"/>
              <w:jc w:val="center"/>
              <w:rPr>
                <w:rFonts w:ascii="STIX" w:hAnsi="STIX" w:cs="STIX"/>
                <w:color w:val="211D1E"/>
                <w:sz w:val="24"/>
                <w:szCs w:val="24"/>
              </w:rPr>
            </w:pPr>
            <w:r w:rsidRPr="00132FF9">
              <w:rPr>
                <w:rFonts w:ascii="STIX" w:hAnsi="STIX" w:cs="STIX"/>
                <w:b/>
                <w:bCs/>
                <w:color w:val="211D1E"/>
                <w:sz w:val="24"/>
                <w:szCs w:val="24"/>
              </w:rPr>
              <w:t>Men Holder</w:t>
            </w:r>
          </w:p>
        </w:tc>
        <w:tc>
          <w:tcPr>
            <w:tcW w:w="1843" w:type="dxa"/>
          </w:tcPr>
          <w:p w:rsidR="00132FF9" w:rsidRPr="00132FF9" w:rsidRDefault="00132FF9" w:rsidP="00132FF9">
            <w:pPr>
              <w:autoSpaceDE w:val="0"/>
              <w:autoSpaceDN w:val="0"/>
              <w:adjustRightInd w:val="0"/>
              <w:spacing w:before="280" w:after="160" w:line="160" w:lineRule="atLeast"/>
              <w:jc w:val="center"/>
              <w:rPr>
                <w:rFonts w:ascii="STIX" w:hAnsi="STIX" w:cs="STIX"/>
                <w:color w:val="211D1E"/>
                <w:sz w:val="24"/>
                <w:szCs w:val="24"/>
              </w:rPr>
            </w:pPr>
            <w:r w:rsidRPr="00132FF9">
              <w:rPr>
                <w:rFonts w:ascii="STIX" w:hAnsi="STIX" w:cs="STIX"/>
                <w:b/>
                <w:bCs/>
                <w:color w:val="211D1E"/>
                <w:sz w:val="24"/>
                <w:szCs w:val="24"/>
              </w:rPr>
              <w:t>Time (s)</w:t>
            </w:r>
          </w:p>
        </w:tc>
        <w:tc>
          <w:tcPr>
            <w:tcW w:w="1843" w:type="dxa"/>
          </w:tcPr>
          <w:p w:rsidR="00132FF9" w:rsidRPr="00132FF9" w:rsidRDefault="00132FF9" w:rsidP="00132FF9">
            <w:pPr>
              <w:autoSpaceDE w:val="0"/>
              <w:autoSpaceDN w:val="0"/>
              <w:adjustRightInd w:val="0"/>
              <w:spacing w:before="280" w:after="160" w:line="160" w:lineRule="atLeast"/>
              <w:rPr>
                <w:rFonts w:ascii="STIX" w:hAnsi="STIX" w:cs="STIX"/>
                <w:color w:val="211D1E"/>
                <w:sz w:val="24"/>
                <w:szCs w:val="24"/>
              </w:rPr>
            </w:pPr>
            <w:r w:rsidRPr="00132FF9">
              <w:rPr>
                <w:rFonts w:ascii="STIX" w:hAnsi="STIX" w:cs="STIX"/>
                <w:b/>
                <w:bCs/>
                <w:color w:val="211D1E"/>
                <w:sz w:val="24"/>
                <w:szCs w:val="24"/>
              </w:rPr>
              <w:t>Women Holder</w:t>
            </w:r>
          </w:p>
        </w:tc>
      </w:tr>
      <w:tr w:rsidR="00132FF9" w:rsidRPr="00132FF9" w:rsidTr="00132FF9">
        <w:tblPrEx>
          <w:tblCellMar>
            <w:top w:w="0" w:type="dxa"/>
            <w:bottom w:w="0" w:type="dxa"/>
          </w:tblCellMar>
        </w:tblPrEx>
        <w:trPr>
          <w:trHeight w:val="1458"/>
        </w:trPr>
        <w:tc>
          <w:tcPr>
            <w:tcW w:w="1843" w:type="dxa"/>
          </w:tcPr>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100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200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400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800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1000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1500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2000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5000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10,000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20,000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42,195</w:t>
            </w:r>
          </w:p>
        </w:tc>
        <w:tc>
          <w:tcPr>
            <w:tcW w:w="1843" w:type="dxa"/>
          </w:tcPr>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9.58</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19.19</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43.18</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100.90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131.96</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206.00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284.79</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757.40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1577.53</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3386.00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7377.00</w:t>
            </w:r>
          </w:p>
        </w:tc>
        <w:tc>
          <w:tcPr>
            <w:tcW w:w="1843" w:type="dxa"/>
          </w:tcPr>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Bolt</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Bolt</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Johnson</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Rudisha</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Ngeny</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El Guerrouj</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El Guerrouj</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Bekele</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Bekele</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Gebrselassie</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Kimetto</w:t>
            </w:r>
          </w:p>
        </w:tc>
        <w:tc>
          <w:tcPr>
            <w:tcW w:w="1843" w:type="dxa"/>
          </w:tcPr>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10.49</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21.34</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47.60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113.28</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148.98</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230.07</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325.35</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851.15</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1771.78</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3926.60</w:t>
            </w:r>
          </w:p>
          <w:p w:rsidR="00132FF9" w:rsidRPr="00132FF9" w:rsidRDefault="00132FF9" w:rsidP="00132FF9">
            <w:pPr>
              <w:autoSpaceDE w:val="0"/>
              <w:autoSpaceDN w:val="0"/>
              <w:adjustRightInd w:val="0"/>
              <w:spacing w:after="0" w:line="160" w:lineRule="atLeast"/>
              <w:jc w:val="center"/>
              <w:rPr>
                <w:rFonts w:ascii="STIX" w:hAnsi="STIX" w:cs="STIX"/>
                <w:color w:val="211D1E"/>
                <w:sz w:val="24"/>
                <w:szCs w:val="24"/>
              </w:rPr>
            </w:pPr>
            <w:r w:rsidRPr="00132FF9">
              <w:rPr>
                <w:rFonts w:ascii="STIX" w:hAnsi="STIX" w:cs="STIX"/>
                <w:color w:val="211D1E"/>
                <w:sz w:val="24"/>
                <w:szCs w:val="24"/>
              </w:rPr>
              <w:t>8125.00</w:t>
            </w:r>
          </w:p>
        </w:tc>
        <w:tc>
          <w:tcPr>
            <w:tcW w:w="1843" w:type="dxa"/>
          </w:tcPr>
          <w:p w:rsidR="00132FF9" w:rsidRPr="00132FF9" w:rsidRDefault="00132FF9" w:rsidP="00132FF9">
            <w:pPr>
              <w:autoSpaceDE w:val="0"/>
              <w:autoSpaceDN w:val="0"/>
              <w:adjustRightInd w:val="0"/>
              <w:spacing w:after="0" w:line="160" w:lineRule="atLeast"/>
              <w:rPr>
                <w:rFonts w:ascii="STIX" w:hAnsi="STIX" w:cs="STIX"/>
                <w:color w:val="211D1E"/>
                <w:sz w:val="24"/>
                <w:szCs w:val="24"/>
              </w:rPr>
            </w:pPr>
            <w:r w:rsidRPr="00132FF9">
              <w:rPr>
                <w:rFonts w:ascii="STIX" w:hAnsi="STIX" w:cs="STIX"/>
                <w:color w:val="211D1E"/>
                <w:sz w:val="24"/>
                <w:szCs w:val="24"/>
              </w:rPr>
              <w:t>Griffith-Joyner</w:t>
            </w:r>
          </w:p>
          <w:p w:rsidR="00132FF9" w:rsidRPr="00132FF9" w:rsidRDefault="00132FF9" w:rsidP="00132FF9">
            <w:pPr>
              <w:autoSpaceDE w:val="0"/>
              <w:autoSpaceDN w:val="0"/>
              <w:adjustRightInd w:val="0"/>
              <w:spacing w:after="0" w:line="160" w:lineRule="atLeast"/>
              <w:rPr>
                <w:rFonts w:ascii="STIX" w:hAnsi="STIX" w:cs="STIX"/>
                <w:color w:val="211D1E"/>
                <w:sz w:val="24"/>
                <w:szCs w:val="24"/>
              </w:rPr>
            </w:pPr>
            <w:r w:rsidRPr="00132FF9">
              <w:rPr>
                <w:rFonts w:ascii="STIX" w:hAnsi="STIX" w:cs="STIX"/>
                <w:color w:val="211D1E"/>
                <w:sz w:val="24"/>
                <w:szCs w:val="24"/>
              </w:rPr>
              <w:t>Griffith-Joyner</w:t>
            </w:r>
          </w:p>
          <w:p w:rsidR="00132FF9" w:rsidRPr="00132FF9" w:rsidRDefault="00132FF9" w:rsidP="00132FF9">
            <w:pPr>
              <w:autoSpaceDE w:val="0"/>
              <w:autoSpaceDN w:val="0"/>
              <w:adjustRightInd w:val="0"/>
              <w:spacing w:after="0" w:line="160" w:lineRule="atLeast"/>
              <w:rPr>
                <w:rFonts w:ascii="STIX" w:hAnsi="STIX" w:cs="STIX"/>
                <w:color w:val="211D1E"/>
                <w:sz w:val="24"/>
                <w:szCs w:val="24"/>
              </w:rPr>
            </w:pPr>
            <w:r w:rsidRPr="00132FF9">
              <w:rPr>
                <w:rFonts w:ascii="STIX" w:hAnsi="STIX" w:cs="STIX"/>
                <w:color w:val="211D1E"/>
                <w:sz w:val="24"/>
                <w:szCs w:val="24"/>
              </w:rPr>
              <w:t>Koch</w:t>
            </w:r>
          </w:p>
          <w:p w:rsidR="00132FF9" w:rsidRPr="00132FF9" w:rsidRDefault="00132FF9" w:rsidP="00132FF9">
            <w:pPr>
              <w:autoSpaceDE w:val="0"/>
              <w:autoSpaceDN w:val="0"/>
              <w:adjustRightInd w:val="0"/>
              <w:spacing w:after="0" w:line="160" w:lineRule="atLeast"/>
              <w:rPr>
                <w:rFonts w:ascii="STIX" w:hAnsi="STIX" w:cs="STIX"/>
                <w:color w:val="211D1E"/>
                <w:sz w:val="24"/>
                <w:szCs w:val="24"/>
              </w:rPr>
            </w:pPr>
            <w:r w:rsidRPr="00132FF9">
              <w:rPr>
                <w:rFonts w:ascii="STIX" w:hAnsi="STIX" w:cs="STIX"/>
                <w:color w:val="211D1E"/>
                <w:sz w:val="24"/>
                <w:szCs w:val="24"/>
              </w:rPr>
              <w:t>Kratochvilova</w:t>
            </w:r>
          </w:p>
          <w:p w:rsidR="00132FF9" w:rsidRPr="00132FF9" w:rsidRDefault="00132FF9" w:rsidP="00132FF9">
            <w:pPr>
              <w:autoSpaceDE w:val="0"/>
              <w:autoSpaceDN w:val="0"/>
              <w:adjustRightInd w:val="0"/>
              <w:spacing w:after="0" w:line="160" w:lineRule="atLeast"/>
              <w:rPr>
                <w:rFonts w:ascii="STIX" w:hAnsi="STIX" w:cs="STIX"/>
                <w:color w:val="211D1E"/>
                <w:sz w:val="24"/>
                <w:szCs w:val="24"/>
              </w:rPr>
            </w:pPr>
            <w:r w:rsidRPr="00132FF9">
              <w:rPr>
                <w:rFonts w:ascii="STIX" w:hAnsi="STIX" w:cs="STIX"/>
                <w:color w:val="211D1E"/>
                <w:sz w:val="24"/>
                <w:szCs w:val="24"/>
              </w:rPr>
              <w:t>Masterkova</w:t>
            </w:r>
          </w:p>
          <w:p w:rsidR="00132FF9" w:rsidRPr="00132FF9" w:rsidRDefault="00132FF9" w:rsidP="00132FF9">
            <w:pPr>
              <w:autoSpaceDE w:val="0"/>
              <w:autoSpaceDN w:val="0"/>
              <w:adjustRightInd w:val="0"/>
              <w:spacing w:after="0" w:line="160" w:lineRule="atLeast"/>
              <w:rPr>
                <w:rFonts w:ascii="STIX" w:hAnsi="STIX" w:cs="STIX"/>
                <w:color w:val="211D1E"/>
                <w:sz w:val="24"/>
                <w:szCs w:val="24"/>
              </w:rPr>
            </w:pPr>
            <w:r w:rsidRPr="00132FF9">
              <w:rPr>
                <w:rFonts w:ascii="STIX" w:hAnsi="STIX" w:cs="STIX"/>
                <w:color w:val="211D1E"/>
                <w:sz w:val="24"/>
                <w:szCs w:val="24"/>
              </w:rPr>
              <w:t>Dibaba</w:t>
            </w:r>
          </w:p>
          <w:p w:rsidR="00132FF9" w:rsidRPr="00132FF9" w:rsidRDefault="00132FF9" w:rsidP="00132FF9">
            <w:pPr>
              <w:autoSpaceDE w:val="0"/>
              <w:autoSpaceDN w:val="0"/>
              <w:adjustRightInd w:val="0"/>
              <w:spacing w:after="0" w:line="160" w:lineRule="atLeast"/>
              <w:rPr>
                <w:rFonts w:ascii="STIX" w:hAnsi="STIX" w:cs="STIX"/>
                <w:color w:val="211D1E"/>
                <w:sz w:val="24"/>
                <w:szCs w:val="24"/>
              </w:rPr>
            </w:pPr>
            <w:r w:rsidRPr="00132FF9">
              <w:rPr>
                <w:rFonts w:ascii="STIX" w:hAnsi="STIX" w:cs="STIX"/>
                <w:color w:val="211D1E"/>
                <w:sz w:val="24"/>
                <w:szCs w:val="24"/>
              </w:rPr>
              <w:t>O’Sullivan</w:t>
            </w:r>
          </w:p>
          <w:p w:rsidR="00132FF9" w:rsidRPr="00132FF9" w:rsidRDefault="00132FF9" w:rsidP="00132FF9">
            <w:pPr>
              <w:autoSpaceDE w:val="0"/>
              <w:autoSpaceDN w:val="0"/>
              <w:adjustRightInd w:val="0"/>
              <w:spacing w:after="0" w:line="160" w:lineRule="atLeast"/>
              <w:rPr>
                <w:rFonts w:ascii="STIX" w:hAnsi="STIX" w:cs="STIX"/>
                <w:color w:val="211D1E"/>
                <w:sz w:val="24"/>
                <w:szCs w:val="24"/>
              </w:rPr>
            </w:pPr>
            <w:r w:rsidRPr="00132FF9">
              <w:rPr>
                <w:rFonts w:ascii="STIX" w:hAnsi="STIX" w:cs="STIX"/>
                <w:color w:val="211D1E"/>
                <w:sz w:val="24"/>
                <w:szCs w:val="24"/>
              </w:rPr>
              <w:t>Dibaba</w:t>
            </w:r>
          </w:p>
          <w:p w:rsidR="00132FF9" w:rsidRPr="00132FF9" w:rsidRDefault="00132FF9" w:rsidP="00132FF9">
            <w:pPr>
              <w:autoSpaceDE w:val="0"/>
              <w:autoSpaceDN w:val="0"/>
              <w:adjustRightInd w:val="0"/>
              <w:spacing w:after="0" w:line="160" w:lineRule="atLeast"/>
              <w:rPr>
                <w:rFonts w:ascii="STIX" w:hAnsi="STIX" w:cs="STIX"/>
                <w:color w:val="211D1E"/>
                <w:sz w:val="24"/>
                <w:szCs w:val="24"/>
              </w:rPr>
            </w:pPr>
            <w:r w:rsidRPr="00132FF9">
              <w:rPr>
                <w:rFonts w:ascii="STIX" w:hAnsi="STIX" w:cs="STIX"/>
                <w:color w:val="211D1E"/>
                <w:sz w:val="24"/>
                <w:szCs w:val="24"/>
              </w:rPr>
              <w:t>Wang</w:t>
            </w:r>
          </w:p>
          <w:p w:rsidR="00132FF9" w:rsidRPr="00132FF9" w:rsidRDefault="00132FF9" w:rsidP="00132FF9">
            <w:pPr>
              <w:autoSpaceDE w:val="0"/>
              <w:autoSpaceDN w:val="0"/>
              <w:adjustRightInd w:val="0"/>
              <w:spacing w:after="0" w:line="160" w:lineRule="atLeast"/>
              <w:rPr>
                <w:rFonts w:ascii="STIX" w:hAnsi="STIX" w:cs="STIX"/>
                <w:color w:val="211D1E"/>
                <w:sz w:val="24"/>
                <w:szCs w:val="24"/>
              </w:rPr>
            </w:pPr>
            <w:r w:rsidRPr="00132FF9">
              <w:rPr>
                <w:rFonts w:ascii="STIX" w:hAnsi="STIX" w:cs="STIX"/>
                <w:color w:val="211D1E"/>
                <w:sz w:val="24"/>
                <w:szCs w:val="24"/>
              </w:rPr>
              <w:t>Loroupe</w:t>
            </w:r>
          </w:p>
          <w:p w:rsidR="00132FF9" w:rsidRPr="00132FF9" w:rsidRDefault="00132FF9" w:rsidP="00132FF9">
            <w:pPr>
              <w:autoSpaceDE w:val="0"/>
              <w:autoSpaceDN w:val="0"/>
              <w:adjustRightInd w:val="0"/>
              <w:spacing w:after="0" w:line="160" w:lineRule="atLeast"/>
              <w:rPr>
                <w:rFonts w:ascii="STIX" w:hAnsi="STIX" w:cs="STIX"/>
                <w:color w:val="211D1E"/>
                <w:sz w:val="24"/>
                <w:szCs w:val="24"/>
              </w:rPr>
            </w:pPr>
            <w:r w:rsidRPr="00132FF9">
              <w:rPr>
                <w:rFonts w:ascii="STIX" w:hAnsi="STIX" w:cs="STIX"/>
                <w:color w:val="211D1E"/>
                <w:sz w:val="24"/>
                <w:szCs w:val="24"/>
              </w:rPr>
              <w:t xml:space="preserve">Radcliffe </w:t>
            </w:r>
          </w:p>
        </w:tc>
      </w:tr>
    </w:tbl>
    <w:p w:rsidR="00132FF9" w:rsidRDefault="00132FF9" w:rsidP="00132FF9">
      <w:pPr>
        <w:pStyle w:val="Default"/>
      </w:pPr>
    </w:p>
    <w:p w:rsidR="00132FF9" w:rsidRPr="00132FF9" w:rsidRDefault="00132FF9" w:rsidP="00132FF9">
      <w:pPr>
        <w:rPr>
          <w:rFonts w:ascii="STIX" w:hAnsi="STIX" w:cs="STIX"/>
          <w:sz w:val="24"/>
          <w:szCs w:val="24"/>
        </w:rPr>
      </w:pPr>
      <w:r w:rsidRPr="00132FF9">
        <w:rPr>
          <w:rFonts w:ascii="STIX" w:hAnsi="STIX" w:cs="STIX"/>
          <w:color w:val="211D1E"/>
          <w:sz w:val="24"/>
          <w:szCs w:val="24"/>
        </w:rPr>
        <w:t>Fit a power model for each gender and use it to predict the record time for a half marathon (21,097.5 m). Note that the actual records for the half marathon are 3503 s (Tadese) and 3909 s (Kiplagat) for men and women, respectively.</w:t>
      </w:r>
    </w:p>
    <w:sectPr w:rsidR="00132FF9" w:rsidRPr="00132FF9"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131</Words>
  <Characters>747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2017-03-18T22:40:00Z</dcterms:created>
  <dcterms:modified xsi:type="dcterms:W3CDTF">2017-03-18T22:40:00Z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