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783DB2">
        <w:rPr>
          <w:b/>
          <w:noProof/>
          <w:sz w:val="20"/>
          <w:szCs w:val="20"/>
        </w:rPr>
        <w:t>4.5</w:t>
      </w:r>
    </w:p>
    <w:p w:rsidR="000F4137" w:rsidRPr="00C22979" w:rsidRDefault="000F4137" w:rsidP="001B2705">
      <w:pPr>
        <w:pStyle w:val="Default"/>
        <w:rPr>
          <w:b/>
          <w:noProof/>
          <w:sz w:val="20"/>
          <w:szCs w:val="20"/>
        </w:rPr>
      </w:pPr>
    </w:p>
    <w:p w:rsidR="00783DB2" w:rsidRPr="00783DB2" w:rsidRDefault="00783DB2" w:rsidP="00783DB2">
      <w:pPr>
        <w:spacing w:after="0" w:line="240" w:lineRule="auto"/>
        <w:rPr>
          <w:rFonts w:ascii="STIX" w:eastAsia="Times New Roman" w:hAnsi="STIX"/>
          <w:sz w:val="20"/>
          <w:szCs w:val="24"/>
        </w:rPr>
      </w:pPr>
      <w:r w:rsidRPr="00783DB2">
        <w:rPr>
          <w:rFonts w:ascii="STIX" w:eastAsia="Times New Roman" w:hAnsi="STIX"/>
          <w:sz w:val="20"/>
          <w:szCs w:val="24"/>
        </w:rPr>
        <w:t>The results can be summarized as</w:t>
      </w:r>
    </w:p>
    <w:p w:rsidR="00783DB2" w:rsidRPr="00783DB2" w:rsidRDefault="00783DB2" w:rsidP="00783DB2">
      <w:pPr>
        <w:spacing w:after="0" w:line="240" w:lineRule="auto"/>
        <w:rPr>
          <w:rFonts w:ascii="STIX" w:eastAsia="Times New Roman" w:hAnsi="STIX"/>
          <w:sz w:val="20"/>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84"/>
        <w:gridCol w:w="2952"/>
        <w:gridCol w:w="2952"/>
      </w:tblGrid>
      <w:tr w:rsidR="00783DB2" w:rsidRPr="00783DB2" w:rsidTr="00FF7247">
        <w:tc>
          <w:tcPr>
            <w:tcW w:w="2484" w:type="dxa"/>
            <w:shd w:val="clear" w:color="auto" w:fill="auto"/>
          </w:tcPr>
          <w:p w:rsidR="00783DB2" w:rsidRPr="00783DB2" w:rsidRDefault="00783DB2" w:rsidP="00783DB2">
            <w:pPr>
              <w:tabs>
                <w:tab w:val="left" w:pos="180"/>
              </w:tabs>
              <w:spacing w:after="0" w:line="240" w:lineRule="auto"/>
              <w:rPr>
                <w:rFonts w:ascii="STIX MathJax Main" w:eastAsia="Times New Roman" w:hAnsi="STIX MathJax Main" w:cs="STIX MathJax Main"/>
                <w:b/>
                <w:sz w:val="18"/>
                <w:szCs w:val="18"/>
              </w:rPr>
            </w:pPr>
          </w:p>
        </w:tc>
        <w:tc>
          <w:tcPr>
            <w:tcW w:w="2952" w:type="dxa"/>
            <w:shd w:val="clear" w:color="auto" w:fill="auto"/>
          </w:tcPr>
          <w:p w:rsidR="00783DB2" w:rsidRPr="00783DB2" w:rsidRDefault="00783DB2" w:rsidP="00783DB2">
            <w:pPr>
              <w:tabs>
                <w:tab w:val="left" w:pos="180"/>
              </w:tabs>
              <w:spacing w:after="0" w:line="240" w:lineRule="auto"/>
              <w:jc w:val="center"/>
              <w:rPr>
                <w:rFonts w:ascii="STIX MathJax Main" w:eastAsia="Times New Roman" w:hAnsi="STIX MathJax Main" w:cs="STIX MathJax Main"/>
                <w:b/>
                <w:sz w:val="18"/>
                <w:szCs w:val="18"/>
              </w:rPr>
            </w:pPr>
            <w:r w:rsidRPr="00783DB2">
              <w:rPr>
                <w:rFonts w:ascii="STIX" w:eastAsia="Times New Roman" w:hAnsi="STIX" w:cs="STIX MathJax Main"/>
                <w:b/>
                <w:i/>
                <w:sz w:val="18"/>
                <w:szCs w:val="18"/>
              </w:rPr>
              <w:t>y</w:t>
            </w:r>
            <w:r w:rsidRPr="00783DB2">
              <w:rPr>
                <w:rFonts w:ascii="STIX" w:eastAsia="Times New Roman" w:hAnsi="STIX" w:cs="STIX MathJax Main"/>
                <w:b/>
                <w:sz w:val="18"/>
                <w:szCs w:val="18"/>
              </w:rPr>
              <w:t xml:space="preserve"> versus </w:t>
            </w:r>
            <w:r w:rsidRPr="00783DB2">
              <w:rPr>
                <w:rFonts w:ascii="STIX" w:eastAsia="Times New Roman" w:hAnsi="STIX" w:cs="STIX MathJax Main"/>
                <w:b/>
                <w:i/>
                <w:sz w:val="18"/>
                <w:szCs w:val="18"/>
              </w:rPr>
              <w:t>x</w:t>
            </w:r>
          </w:p>
        </w:tc>
        <w:tc>
          <w:tcPr>
            <w:tcW w:w="2952" w:type="dxa"/>
            <w:shd w:val="clear" w:color="auto" w:fill="auto"/>
          </w:tcPr>
          <w:p w:rsidR="00783DB2" w:rsidRPr="00783DB2" w:rsidRDefault="00783DB2" w:rsidP="00783DB2">
            <w:pPr>
              <w:tabs>
                <w:tab w:val="left" w:pos="180"/>
              </w:tabs>
              <w:spacing w:after="0" w:line="240" w:lineRule="auto"/>
              <w:jc w:val="center"/>
              <w:rPr>
                <w:rFonts w:ascii="STIX MathJax Main" w:eastAsia="Times New Roman" w:hAnsi="STIX MathJax Main" w:cs="STIX MathJax Main"/>
                <w:b/>
                <w:sz w:val="18"/>
                <w:szCs w:val="18"/>
              </w:rPr>
            </w:pPr>
            <w:r w:rsidRPr="00783DB2">
              <w:rPr>
                <w:rFonts w:ascii="STIX" w:eastAsia="Times New Roman" w:hAnsi="STIX" w:cs="STIX MathJax Main"/>
                <w:b/>
                <w:i/>
                <w:sz w:val="18"/>
                <w:szCs w:val="18"/>
              </w:rPr>
              <w:t>x</w:t>
            </w:r>
            <w:r w:rsidRPr="00783DB2">
              <w:rPr>
                <w:rFonts w:ascii="STIX" w:eastAsia="Times New Roman" w:hAnsi="STIX" w:cs="STIX MathJax Main"/>
                <w:b/>
                <w:sz w:val="18"/>
                <w:szCs w:val="18"/>
              </w:rPr>
              <w:t xml:space="preserve"> versus </w:t>
            </w:r>
            <w:r w:rsidRPr="00783DB2">
              <w:rPr>
                <w:rFonts w:ascii="STIX" w:eastAsia="Times New Roman" w:hAnsi="STIX" w:cs="STIX MathJax Main"/>
                <w:b/>
                <w:i/>
                <w:sz w:val="18"/>
                <w:szCs w:val="18"/>
              </w:rPr>
              <w:t>y</w:t>
            </w:r>
          </w:p>
        </w:tc>
      </w:tr>
      <w:tr w:rsidR="00783DB2" w:rsidRPr="00783DB2" w:rsidTr="00FF7247">
        <w:tc>
          <w:tcPr>
            <w:tcW w:w="2484" w:type="dxa"/>
            <w:shd w:val="clear" w:color="auto" w:fill="auto"/>
          </w:tcPr>
          <w:p w:rsidR="00783DB2" w:rsidRPr="00783DB2" w:rsidRDefault="00783DB2" w:rsidP="00783DB2">
            <w:pPr>
              <w:tabs>
                <w:tab w:val="left" w:pos="180"/>
              </w:tabs>
              <w:spacing w:after="0" w:line="240" w:lineRule="auto"/>
              <w:rPr>
                <w:rFonts w:ascii="STIX MathJax Main" w:eastAsia="Times New Roman" w:hAnsi="STIX MathJax Main" w:cs="STIX MathJax Main"/>
                <w:b/>
                <w:sz w:val="18"/>
                <w:szCs w:val="18"/>
              </w:rPr>
            </w:pPr>
            <w:r w:rsidRPr="00783DB2">
              <w:rPr>
                <w:rFonts w:ascii="STIX" w:eastAsia="Times New Roman" w:hAnsi="STIX" w:cs="STIX MathJax Main"/>
                <w:b/>
                <w:sz w:val="18"/>
                <w:szCs w:val="18"/>
              </w:rPr>
              <w:t>Best fit equation</w:t>
            </w:r>
          </w:p>
        </w:tc>
        <w:tc>
          <w:tcPr>
            <w:tcW w:w="2952" w:type="dxa"/>
            <w:shd w:val="clear" w:color="auto" w:fill="auto"/>
          </w:tcPr>
          <w:p w:rsidR="00783DB2" w:rsidRPr="00783DB2" w:rsidRDefault="00783DB2" w:rsidP="00783DB2">
            <w:pPr>
              <w:tabs>
                <w:tab w:val="left" w:pos="180"/>
              </w:tabs>
              <w:spacing w:after="0" w:line="240" w:lineRule="auto"/>
              <w:jc w:val="center"/>
              <w:rPr>
                <w:rFonts w:ascii="STIX MathJax Main" w:eastAsia="Times New Roman" w:hAnsi="STIX MathJax Main" w:cs="STIX MathJax Main"/>
                <w:sz w:val="18"/>
                <w:szCs w:val="18"/>
              </w:rPr>
            </w:pPr>
            <w:r w:rsidRPr="00783DB2">
              <w:rPr>
                <w:rFonts w:ascii="STIX" w:eastAsia="Times New Roman" w:hAnsi="STIX" w:cs="STIX MathJax Main"/>
                <w:i/>
                <w:sz w:val="18"/>
                <w:szCs w:val="18"/>
              </w:rPr>
              <w:t>y</w:t>
            </w:r>
            <w:r w:rsidRPr="00783DB2">
              <w:rPr>
                <w:rFonts w:ascii="STIX" w:eastAsia="Times New Roman" w:hAnsi="STIX" w:cs="STIX MathJax Main"/>
                <w:sz w:val="18"/>
                <w:szCs w:val="18"/>
              </w:rPr>
              <w:t xml:space="preserve"> </w:t>
            </w:r>
            <w:r w:rsidRPr="00783DB2">
              <w:rPr>
                <w:rFonts w:ascii="Courier New" w:eastAsia="Times New Roman" w:hAnsi="Courier New" w:cs="STIX MathJax Main"/>
                <w:sz w:val="18"/>
                <w:szCs w:val="18"/>
              </w:rPr>
              <w:t>=</w:t>
            </w:r>
            <w:r w:rsidRPr="00783DB2">
              <w:rPr>
                <w:rFonts w:ascii="STIX" w:eastAsia="Times New Roman" w:hAnsi="STIX" w:cs="STIX MathJax Main"/>
                <w:sz w:val="18"/>
                <w:szCs w:val="18"/>
              </w:rPr>
              <w:t xml:space="preserve"> 4.88812 </w:t>
            </w:r>
            <w:r w:rsidRPr="00783DB2">
              <w:rPr>
                <w:rFonts w:ascii="Courier New" w:eastAsia="Times New Roman" w:hAnsi="Courier New" w:cs="STIX MathJax Main"/>
                <w:sz w:val="18"/>
                <w:szCs w:val="18"/>
              </w:rPr>
              <w:t>+</w:t>
            </w:r>
            <w:r w:rsidRPr="00783DB2">
              <w:rPr>
                <w:rFonts w:ascii="STIX" w:eastAsia="Times New Roman" w:hAnsi="STIX" w:cs="STIX MathJax Main"/>
                <w:sz w:val="18"/>
                <w:szCs w:val="18"/>
              </w:rPr>
              <w:t xml:space="preserve"> 0.3591455 </w:t>
            </w:r>
            <w:r w:rsidRPr="00783DB2">
              <w:rPr>
                <w:rFonts w:ascii="STIX" w:eastAsia="Times New Roman" w:hAnsi="STIX" w:cs="STIX MathJax Main"/>
                <w:i/>
                <w:sz w:val="18"/>
                <w:szCs w:val="18"/>
              </w:rPr>
              <w:t>x</w:t>
            </w:r>
          </w:p>
        </w:tc>
        <w:tc>
          <w:tcPr>
            <w:tcW w:w="2952" w:type="dxa"/>
            <w:shd w:val="clear" w:color="auto" w:fill="auto"/>
          </w:tcPr>
          <w:p w:rsidR="00783DB2" w:rsidRPr="00783DB2" w:rsidRDefault="00783DB2" w:rsidP="00783DB2">
            <w:pPr>
              <w:tabs>
                <w:tab w:val="left" w:pos="180"/>
              </w:tabs>
              <w:spacing w:after="0" w:line="240" w:lineRule="auto"/>
              <w:jc w:val="center"/>
              <w:rPr>
                <w:rFonts w:ascii="STIX MathJax Main" w:eastAsia="Times New Roman" w:hAnsi="STIX MathJax Main" w:cs="STIX MathJax Main"/>
                <w:sz w:val="18"/>
                <w:szCs w:val="18"/>
              </w:rPr>
            </w:pPr>
            <w:r w:rsidRPr="00783DB2">
              <w:rPr>
                <w:rFonts w:ascii="STIX" w:eastAsia="Times New Roman" w:hAnsi="STIX" w:cs="STIX MathJax Main"/>
                <w:i/>
                <w:sz w:val="18"/>
                <w:szCs w:val="18"/>
              </w:rPr>
              <w:t>x</w:t>
            </w:r>
            <w:r w:rsidRPr="00783DB2">
              <w:rPr>
                <w:rFonts w:ascii="STIX" w:eastAsia="Times New Roman" w:hAnsi="STIX" w:cs="STIX MathJax Main"/>
                <w:sz w:val="18"/>
                <w:szCs w:val="18"/>
              </w:rPr>
              <w:t xml:space="preserve"> </w:t>
            </w:r>
            <w:r w:rsidRPr="00783DB2">
              <w:rPr>
                <w:rFonts w:ascii="Courier New" w:eastAsia="Times New Roman" w:hAnsi="Courier New" w:cs="STIX MathJax Main"/>
                <w:sz w:val="18"/>
                <w:szCs w:val="18"/>
              </w:rPr>
              <w:t>=</w:t>
            </w:r>
            <w:r w:rsidRPr="00783DB2">
              <w:rPr>
                <w:rFonts w:ascii="STIX" w:eastAsia="Times New Roman" w:hAnsi="STIX" w:cs="STIX MathJax Main"/>
                <w:sz w:val="18"/>
                <w:szCs w:val="18"/>
              </w:rPr>
              <w:t xml:space="preserve"> </w:t>
            </w:r>
            <w:r w:rsidRPr="00783DB2">
              <w:rPr>
                <w:rFonts w:ascii="STIX" w:eastAsia="Times New Roman" w:hAnsi="STIX" w:cs="STIX MathJax Main"/>
                <w:sz w:val="18"/>
                <w:szCs w:val="18"/>
              </w:rPr>
              <w:t xml:space="preserve">11.1349 </w:t>
            </w:r>
            <w:r w:rsidRPr="00783DB2">
              <w:rPr>
                <w:rFonts w:ascii="Courier New" w:eastAsia="Times New Roman" w:hAnsi="Courier New" w:cs="STIX MathJax Main"/>
                <w:sz w:val="18"/>
                <w:szCs w:val="18"/>
              </w:rPr>
              <w:t>+</w:t>
            </w:r>
            <w:r w:rsidRPr="00783DB2">
              <w:rPr>
                <w:rFonts w:ascii="STIX" w:eastAsia="Times New Roman" w:hAnsi="STIX" w:cs="STIX MathJax Main"/>
                <w:sz w:val="18"/>
                <w:szCs w:val="18"/>
              </w:rPr>
              <w:t xml:space="preserve"> 2.486137 </w:t>
            </w:r>
            <w:r w:rsidRPr="00783DB2">
              <w:rPr>
                <w:rFonts w:ascii="STIX" w:eastAsia="Times New Roman" w:hAnsi="STIX" w:cs="STIX MathJax Main"/>
                <w:i/>
                <w:sz w:val="18"/>
                <w:szCs w:val="18"/>
              </w:rPr>
              <w:t>y</w:t>
            </w:r>
          </w:p>
        </w:tc>
      </w:tr>
      <w:tr w:rsidR="00783DB2" w:rsidRPr="00783DB2" w:rsidTr="00FF7247">
        <w:tc>
          <w:tcPr>
            <w:tcW w:w="2484" w:type="dxa"/>
            <w:shd w:val="clear" w:color="auto" w:fill="auto"/>
          </w:tcPr>
          <w:p w:rsidR="00783DB2" w:rsidRPr="00783DB2" w:rsidRDefault="00783DB2" w:rsidP="00783DB2">
            <w:pPr>
              <w:tabs>
                <w:tab w:val="left" w:pos="180"/>
              </w:tabs>
              <w:spacing w:after="0" w:line="240" w:lineRule="auto"/>
              <w:rPr>
                <w:rFonts w:ascii="STIX MathJax Main" w:eastAsia="Times New Roman" w:hAnsi="STIX MathJax Main" w:cs="STIX MathJax Main"/>
                <w:b/>
                <w:sz w:val="18"/>
                <w:szCs w:val="18"/>
              </w:rPr>
            </w:pPr>
            <w:r w:rsidRPr="00783DB2">
              <w:rPr>
                <w:rFonts w:ascii="STIX" w:eastAsia="Times New Roman" w:hAnsi="STIX" w:cs="STIX MathJax Main"/>
                <w:b/>
                <w:sz w:val="18"/>
                <w:szCs w:val="18"/>
              </w:rPr>
              <w:t>Standard error</w:t>
            </w:r>
          </w:p>
        </w:tc>
        <w:tc>
          <w:tcPr>
            <w:tcW w:w="2952" w:type="dxa"/>
            <w:shd w:val="clear" w:color="auto" w:fill="auto"/>
          </w:tcPr>
          <w:p w:rsidR="00783DB2" w:rsidRPr="00783DB2" w:rsidRDefault="00783DB2" w:rsidP="00783DB2">
            <w:pPr>
              <w:tabs>
                <w:tab w:val="left" w:pos="180"/>
              </w:tabs>
              <w:spacing w:after="0" w:line="240" w:lineRule="auto"/>
              <w:jc w:val="center"/>
              <w:rPr>
                <w:rFonts w:ascii="STIX MathJax Main" w:eastAsia="Times New Roman" w:hAnsi="STIX MathJax Main" w:cs="STIX MathJax Main"/>
                <w:sz w:val="18"/>
                <w:szCs w:val="18"/>
              </w:rPr>
            </w:pPr>
            <w:r w:rsidRPr="00783DB2">
              <w:rPr>
                <w:rFonts w:ascii="STIX" w:eastAsia="Times New Roman" w:hAnsi="STIX" w:cs="STIX MathJax Main"/>
                <w:sz w:val="18"/>
                <w:szCs w:val="18"/>
              </w:rPr>
              <w:t>0.851097</w:t>
            </w:r>
          </w:p>
        </w:tc>
        <w:tc>
          <w:tcPr>
            <w:tcW w:w="2952" w:type="dxa"/>
            <w:shd w:val="clear" w:color="auto" w:fill="auto"/>
          </w:tcPr>
          <w:p w:rsidR="00783DB2" w:rsidRPr="00783DB2" w:rsidRDefault="00783DB2" w:rsidP="00783DB2">
            <w:pPr>
              <w:tabs>
                <w:tab w:val="left" w:pos="180"/>
              </w:tabs>
              <w:spacing w:after="0" w:line="240" w:lineRule="auto"/>
              <w:jc w:val="center"/>
              <w:rPr>
                <w:rFonts w:ascii="STIX MathJax Main" w:eastAsia="Times New Roman" w:hAnsi="STIX MathJax Main" w:cs="STIX MathJax Main"/>
                <w:sz w:val="18"/>
                <w:szCs w:val="18"/>
              </w:rPr>
            </w:pPr>
            <w:r w:rsidRPr="00783DB2">
              <w:rPr>
                <w:rFonts w:ascii="STIX" w:eastAsia="Times New Roman" w:hAnsi="STIX" w:cs="STIX MathJax Main"/>
                <w:sz w:val="18"/>
                <w:szCs w:val="18"/>
              </w:rPr>
              <w:t>2.23927</w:t>
            </w:r>
          </w:p>
        </w:tc>
      </w:tr>
      <w:tr w:rsidR="00783DB2" w:rsidRPr="00783DB2" w:rsidTr="00FF7247">
        <w:tc>
          <w:tcPr>
            <w:tcW w:w="2484" w:type="dxa"/>
            <w:shd w:val="clear" w:color="auto" w:fill="auto"/>
          </w:tcPr>
          <w:p w:rsidR="00783DB2" w:rsidRPr="00783DB2" w:rsidRDefault="00783DB2" w:rsidP="00783DB2">
            <w:pPr>
              <w:tabs>
                <w:tab w:val="left" w:pos="180"/>
              </w:tabs>
              <w:spacing w:after="0" w:line="240" w:lineRule="auto"/>
              <w:rPr>
                <w:rFonts w:ascii="STIX MathJax Main" w:eastAsia="Times New Roman" w:hAnsi="STIX MathJax Main" w:cs="STIX MathJax Main"/>
                <w:b/>
                <w:sz w:val="18"/>
                <w:szCs w:val="18"/>
              </w:rPr>
            </w:pPr>
            <w:r w:rsidRPr="00783DB2">
              <w:rPr>
                <w:rFonts w:ascii="STIX" w:eastAsia="Times New Roman" w:hAnsi="STIX" w:cs="STIX MathJax Main"/>
                <w:b/>
                <w:sz w:val="18"/>
                <w:szCs w:val="18"/>
              </w:rPr>
              <w:t>Correlation coefficient</w:t>
            </w:r>
          </w:p>
        </w:tc>
        <w:tc>
          <w:tcPr>
            <w:tcW w:w="2952" w:type="dxa"/>
            <w:shd w:val="clear" w:color="auto" w:fill="auto"/>
          </w:tcPr>
          <w:p w:rsidR="00783DB2" w:rsidRPr="00783DB2" w:rsidRDefault="00783DB2" w:rsidP="00783DB2">
            <w:pPr>
              <w:tabs>
                <w:tab w:val="left" w:pos="180"/>
              </w:tabs>
              <w:spacing w:after="0" w:line="240" w:lineRule="auto"/>
              <w:jc w:val="center"/>
              <w:rPr>
                <w:rFonts w:ascii="STIX MathJax Main" w:eastAsia="Times New Roman" w:hAnsi="STIX MathJax Main" w:cs="STIX MathJax Main"/>
                <w:sz w:val="18"/>
                <w:szCs w:val="18"/>
              </w:rPr>
            </w:pPr>
            <w:r w:rsidRPr="00783DB2">
              <w:rPr>
                <w:rFonts w:ascii="STIX" w:eastAsia="Times New Roman" w:hAnsi="STIX" w:cs="STIX MathJax Main"/>
                <w:sz w:val="18"/>
                <w:szCs w:val="18"/>
              </w:rPr>
              <w:t>0.944926</w:t>
            </w:r>
          </w:p>
        </w:tc>
        <w:tc>
          <w:tcPr>
            <w:tcW w:w="2952" w:type="dxa"/>
            <w:shd w:val="clear" w:color="auto" w:fill="auto"/>
          </w:tcPr>
          <w:p w:rsidR="00783DB2" w:rsidRPr="00783DB2" w:rsidRDefault="00783DB2" w:rsidP="00783DB2">
            <w:pPr>
              <w:tabs>
                <w:tab w:val="left" w:pos="180"/>
              </w:tabs>
              <w:spacing w:after="0" w:line="240" w:lineRule="auto"/>
              <w:jc w:val="center"/>
              <w:rPr>
                <w:rFonts w:ascii="STIX MathJax Main" w:eastAsia="Times New Roman" w:hAnsi="STIX MathJax Main" w:cs="STIX MathJax Main"/>
                <w:sz w:val="18"/>
                <w:szCs w:val="18"/>
              </w:rPr>
            </w:pPr>
            <w:r w:rsidRPr="00783DB2">
              <w:rPr>
                <w:rFonts w:ascii="STIX" w:eastAsia="Times New Roman" w:hAnsi="STIX" w:cs="STIX MathJax Main"/>
                <w:sz w:val="18"/>
                <w:szCs w:val="18"/>
              </w:rPr>
              <w:t>0.944926</w:t>
            </w:r>
          </w:p>
        </w:tc>
      </w:tr>
    </w:tbl>
    <w:p w:rsidR="00783DB2" w:rsidRPr="00783DB2" w:rsidRDefault="00783DB2" w:rsidP="00783DB2">
      <w:pPr>
        <w:tabs>
          <w:tab w:val="left" w:pos="180"/>
        </w:tabs>
        <w:spacing w:after="0" w:line="240" w:lineRule="auto"/>
        <w:rPr>
          <w:rFonts w:ascii="STIX" w:eastAsia="Times New Roman" w:hAnsi="STIX"/>
          <w:sz w:val="20"/>
          <w:szCs w:val="24"/>
        </w:rPr>
      </w:pPr>
      <w:r w:rsidRPr="00783DB2">
        <w:rPr>
          <w:rFonts w:ascii="STIX" w:eastAsia="Times New Roman" w:hAnsi="STIX"/>
          <w:sz w:val="20"/>
          <w:szCs w:val="24"/>
        </w:rPr>
        <w:t>We can also plot both lines on the same graph</w:t>
      </w:r>
    </w:p>
    <w:p w:rsidR="00783DB2" w:rsidRPr="00783DB2" w:rsidRDefault="00783DB2" w:rsidP="00783DB2">
      <w:pPr>
        <w:tabs>
          <w:tab w:val="left" w:pos="180"/>
        </w:tabs>
        <w:spacing w:after="0" w:line="240" w:lineRule="auto"/>
        <w:rPr>
          <w:rFonts w:ascii="STIX" w:eastAsia="Times New Roman" w:hAnsi="STIX"/>
          <w:sz w:val="20"/>
          <w:szCs w:val="24"/>
        </w:rPr>
      </w:pPr>
    </w:p>
    <w:p w:rsidR="00783DB2" w:rsidRPr="00783DB2" w:rsidRDefault="00783DB2" w:rsidP="00783DB2">
      <w:pPr>
        <w:tabs>
          <w:tab w:val="left" w:pos="180"/>
        </w:tabs>
        <w:spacing w:after="0" w:line="240" w:lineRule="auto"/>
        <w:rPr>
          <w:rFonts w:ascii="STIX" w:eastAsia="Times New Roman" w:hAnsi="STIX"/>
          <w:sz w:val="20"/>
          <w:szCs w:val="24"/>
        </w:rPr>
      </w:pPr>
      <w:r w:rsidRPr="00783DB2">
        <w:rPr>
          <w:rFonts w:ascii="STIX" w:eastAsia="Times New Roman" w:hAnsi="STIX"/>
          <w:sz w:val="20"/>
          <w:szCs w:val="24"/>
        </w:rPr>
        <w:drawing>
          <wp:inline distT="0" distB="0" distL="0" distR="0">
            <wp:extent cx="3190875" cy="1152525"/>
            <wp:effectExtent l="0" t="0" r="9525" b="0"/>
            <wp:docPr id="25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srcRect/>
                    <a:stretch>
                      <a:fillRect/>
                    </a:stretch>
                  </pic:blipFill>
                  <pic:spPr bwMode="auto">
                    <a:xfrm>
                      <a:off x="0" y="0"/>
                      <a:ext cx="3190875" cy="1152525"/>
                    </a:xfrm>
                    <a:prstGeom prst="rect">
                      <a:avLst/>
                    </a:prstGeom>
                    <a:noFill/>
                    <a:ln w="9525">
                      <a:noFill/>
                      <a:miter lim="800000"/>
                      <a:headEnd/>
                      <a:tailEnd/>
                    </a:ln>
                  </pic:spPr>
                </pic:pic>
              </a:graphicData>
            </a:graphic>
          </wp:inline>
        </w:drawing>
      </w:r>
    </w:p>
    <w:p w:rsidR="00783DB2" w:rsidRPr="00783DB2" w:rsidRDefault="00783DB2" w:rsidP="00783DB2">
      <w:pPr>
        <w:tabs>
          <w:tab w:val="left" w:pos="180"/>
        </w:tabs>
        <w:spacing w:after="0" w:line="240" w:lineRule="auto"/>
        <w:rPr>
          <w:rFonts w:ascii="STIX" w:eastAsia="Times New Roman" w:hAnsi="STIX"/>
          <w:sz w:val="20"/>
          <w:szCs w:val="24"/>
        </w:rPr>
      </w:pPr>
    </w:p>
    <w:p w:rsidR="00783DB2" w:rsidRPr="00783DB2" w:rsidRDefault="00783DB2" w:rsidP="00783DB2">
      <w:pPr>
        <w:tabs>
          <w:tab w:val="left" w:pos="180"/>
        </w:tabs>
        <w:spacing w:after="0" w:line="240" w:lineRule="auto"/>
        <w:rPr>
          <w:rFonts w:ascii="STIX" w:eastAsia="Times New Roman" w:hAnsi="STIX"/>
          <w:sz w:val="20"/>
          <w:szCs w:val="24"/>
        </w:rPr>
      </w:pPr>
      <w:r w:rsidRPr="00783DB2">
        <w:rPr>
          <w:rFonts w:ascii="STIX" w:eastAsia="Times New Roman" w:hAnsi="STIX"/>
          <w:sz w:val="20"/>
          <w:szCs w:val="24"/>
        </w:rPr>
        <w:t xml:space="preserve">Thus, the “best” fit lines and the standard errors differ. This makes sense because different errors are being minimized depending on our choice of the dependent (ordinate) and independent (abscissa) variables. In contrast, the correlation coefficients are identical since the same amount of uncertainty is explained regardless of how the points are plotted. </w:t>
      </w:r>
    </w:p>
    <w:p w:rsidR="00DB4637" w:rsidRPr="00EC1100" w:rsidRDefault="00DB4637" w:rsidP="00783DB2">
      <w:pPr>
        <w:spacing w:after="0" w:line="240" w:lineRule="auto"/>
        <w:rPr>
          <w:rFonts w:ascii="Courier New" w:eastAsia="Times New Roman" w:hAnsi="Courier New" w:cs="Courier New"/>
          <w:color w:val="000000"/>
          <w:sz w:val="18"/>
          <w:szCs w:val="26"/>
        </w:rPr>
      </w:pPr>
    </w:p>
    <w:sectPr w:rsidR="00DB4637" w:rsidRPr="00EC1100"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E4B09-DB86-4E20-B20D-5145CD9CC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537</Characters>
  <Application>Microsoft Office Word</Application>
  <DocSecurity>0</DocSecurity>
  <Lines>4</Lines>
  <Paragraphs>1</Paragraphs>
  <ScaleCrop>false</ScaleCrop>
  <Company/>
  <LinksUpToDate>false</LinksUpToDate>
  <CharactersWithSpaces>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2017-03-30T21:12:00Z</dcterms:created>
  <dcterms:modified xsi:type="dcterms:W3CDTF">2017-03-30T21:12:00Z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