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CD64BA">
        <w:rPr>
          <w:b/>
          <w:noProof/>
          <w:sz w:val="20"/>
          <w:szCs w:val="20"/>
        </w:rPr>
        <w:t>4.9</w:t>
      </w:r>
    </w:p>
    <w:p w:rsidR="000F4137" w:rsidRPr="00C22979" w:rsidRDefault="000F4137" w:rsidP="001B2705">
      <w:pPr>
        <w:pStyle w:val="Default"/>
        <w:rPr>
          <w:b/>
          <w:noProof/>
          <w:sz w:val="20"/>
          <w:szCs w:val="20"/>
        </w:rPr>
      </w:pP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b/>
          <w:sz w:val="20"/>
          <w:szCs w:val="24"/>
        </w:rPr>
        <w:t>(a)</w:t>
      </w:r>
      <w:r w:rsidRPr="00CD64BA">
        <w:rPr>
          <w:rFonts w:ascii="STIX" w:eastAsia="Times New Roman" w:hAnsi="STIX"/>
          <w:sz w:val="20"/>
          <w:szCs w:val="24"/>
        </w:rPr>
        <w:t xml:space="preserve"> The data can be plotted</w:t>
      </w:r>
    </w:p>
    <w:p w:rsidR="00CD64BA" w:rsidRPr="00CD64BA" w:rsidRDefault="00CD64BA" w:rsidP="00CD64BA">
      <w:pPr>
        <w:spacing w:after="0" w:line="240" w:lineRule="auto"/>
        <w:rPr>
          <w:rFonts w:ascii="STIX" w:eastAsia="Times New Roman" w:hAnsi="STIX"/>
          <w:sz w:val="20"/>
          <w:szCs w:val="24"/>
        </w:rPr>
      </w:pP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sz w:val="20"/>
          <w:szCs w:val="24"/>
        </w:rPr>
        <w:drawing>
          <wp:inline distT="0" distB="0" distL="0" distR="0">
            <wp:extent cx="2228850" cy="1457325"/>
            <wp:effectExtent l="0" t="0" r="0" b="0"/>
            <wp:docPr id="26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2228850" cy="1457325"/>
                    </a:xfrm>
                    <a:prstGeom prst="rect">
                      <a:avLst/>
                    </a:prstGeom>
                    <a:noFill/>
                    <a:ln w="9525">
                      <a:noFill/>
                      <a:miter lim="800000"/>
                      <a:headEnd/>
                      <a:tailEnd/>
                    </a:ln>
                  </pic:spPr>
                </pic:pic>
              </a:graphicData>
            </a:graphic>
          </wp:inline>
        </w:drawing>
      </w:r>
    </w:p>
    <w:p w:rsidR="00CD64BA" w:rsidRPr="00CD64BA" w:rsidRDefault="00CD64BA" w:rsidP="00CD64BA">
      <w:pPr>
        <w:spacing w:after="0" w:line="240" w:lineRule="auto"/>
        <w:rPr>
          <w:rFonts w:ascii="STIX" w:eastAsia="Times New Roman" w:hAnsi="STIX"/>
          <w:sz w:val="20"/>
          <w:szCs w:val="24"/>
        </w:rPr>
      </w:pP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sz w:val="20"/>
          <w:szCs w:val="24"/>
        </w:rPr>
        <w:t>The plot indicates that the data is somewhat curvilinear. An exponential model (i.e., a semi-log plot) is the best choice to linearize the data. This conclusion is based on</w:t>
      </w:r>
    </w:p>
    <w:p w:rsidR="00CD64BA" w:rsidRPr="00CD64BA" w:rsidRDefault="00CD64BA" w:rsidP="00CD64BA">
      <w:pPr>
        <w:spacing w:after="0" w:line="240" w:lineRule="auto"/>
        <w:rPr>
          <w:rFonts w:ascii="STIX" w:eastAsia="Times New Roman" w:hAnsi="STIX"/>
          <w:sz w:val="20"/>
          <w:szCs w:val="24"/>
        </w:rPr>
      </w:pPr>
    </w:p>
    <w:p w:rsidR="00CD64BA" w:rsidRPr="00CD64BA" w:rsidRDefault="00CD64BA" w:rsidP="00CD64BA">
      <w:pPr>
        <w:numPr>
          <w:ilvl w:val="0"/>
          <w:numId w:val="7"/>
        </w:numPr>
        <w:spacing w:after="0" w:line="240" w:lineRule="auto"/>
        <w:rPr>
          <w:rFonts w:ascii="STIX" w:eastAsia="Times New Roman" w:hAnsi="STIX"/>
          <w:sz w:val="20"/>
          <w:szCs w:val="24"/>
        </w:rPr>
      </w:pPr>
      <w:r w:rsidRPr="00CD64BA">
        <w:rPr>
          <w:rFonts w:ascii="STIX" w:eastAsia="Times New Roman" w:hAnsi="STIX"/>
          <w:sz w:val="20"/>
          <w:szCs w:val="24"/>
        </w:rPr>
        <w:t>A power model does not result in a linear plot</w:t>
      </w:r>
    </w:p>
    <w:p w:rsidR="00CD64BA" w:rsidRPr="00CD64BA" w:rsidRDefault="00CD64BA" w:rsidP="00CD64BA">
      <w:pPr>
        <w:numPr>
          <w:ilvl w:val="0"/>
          <w:numId w:val="7"/>
        </w:numPr>
        <w:spacing w:after="0" w:line="240" w:lineRule="auto"/>
        <w:rPr>
          <w:rFonts w:ascii="STIX" w:eastAsia="Times New Roman" w:hAnsi="STIX"/>
          <w:sz w:val="20"/>
          <w:szCs w:val="24"/>
        </w:rPr>
      </w:pPr>
      <w:r w:rsidRPr="00CD64BA">
        <w:rPr>
          <w:rFonts w:ascii="STIX" w:eastAsia="Times New Roman" w:hAnsi="STIX"/>
          <w:sz w:val="20"/>
          <w:szCs w:val="24"/>
        </w:rPr>
        <w:t>Bacterial decay is known to follow an exponential model</w:t>
      </w:r>
    </w:p>
    <w:p w:rsidR="00CD64BA" w:rsidRPr="00CD64BA" w:rsidRDefault="00CD64BA" w:rsidP="00CD64BA">
      <w:pPr>
        <w:numPr>
          <w:ilvl w:val="0"/>
          <w:numId w:val="7"/>
        </w:numPr>
        <w:spacing w:after="0" w:line="240" w:lineRule="auto"/>
        <w:rPr>
          <w:rFonts w:ascii="STIX" w:eastAsia="Times New Roman" w:hAnsi="STIX"/>
          <w:sz w:val="20"/>
          <w:szCs w:val="24"/>
        </w:rPr>
      </w:pPr>
      <w:r w:rsidRPr="00CD64BA">
        <w:rPr>
          <w:rFonts w:ascii="STIX" w:eastAsia="Times New Roman" w:hAnsi="STIX"/>
          <w:sz w:val="20"/>
          <w:szCs w:val="24"/>
        </w:rPr>
        <w:t>The exponential model by definition will not produce negative values.</w:t>
      </w:r>
    </w:p>
    <w:p w:rsidR="00CD64BA" w:rsidRPr="00CD64BA" w:rsidRDefault="00CD64BA" w:rsidP="00CD64BA">
      <w:pPr>
        <w:spacing w:after="0" w:line="240" w:lineRule="auto"/>
        <w:rPr>
          <w:rFonts w:ascii="STIX" w:eastAsia="Times New Roman" w:hAnsi="STIX"/>
          <w:sz w:val="20"/>
          <w:szCs w:val="24"/>
        </w:rPr>
      </w:pP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sz w:val="20"/>
          <w:szCs w:val="24"/>
        </w:rPr>
        <w:t>The exponential fit can be determined as</w:t>
      </w: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sz w:val="20"/>
          <w:szCs w:val="24"/>
        </w:rPr>
        <w:t xml:space="preserve">  </w:t>
      </w:r>
    </w:p>
    <w:tbl>
      <w:tblPr>
        <w:tblW w:w="3395" w:type="dxa"/>
        <w:tblCellMar>
          <w:left w:w="0" w:type="dxa"/>
          <w:right w:w="0" w:type="dxa"/>
        </w:tblCellMar>
        <w:tblLook w:val="0000"/>
      </w:tblPr>
      <w:tblGrid>
        <w:gridCol w:w="1008"/>
        <w:gridCol w:w="1427"/>
        <w:gridCol w:w="1008"/>
      </w:tblGrid>
      <w:tr w:rsidR="00CD64BA" w:rsidRPr="00CD64BA" w:rsidTr="00FF7247">
        <w:trPr>
          <w:trHeight w:val="144"/>
        </w:trPr>
        <w:tc>
          <w:tcPr>
            <w:tcW w:w="992" w:type="dxa"/>
            <w:tcBorders>
              <w:top w:val="single" w:sz="12" w:space="0" w:color="auto"/>
              <w:bottom w:val="single" w:sz="4"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b/>
                <w:sz w:val="18"/>
                <w:szCs w:val="18"/>
              </w:rPr>
            </w:pPr>
            <w:r w:rsidRPr="00CD64BA">
              <w:rPr>
                <w:rFonts w:ascii="STIX" w:eastAsia="Times New Roman" w:hAnsi="STIX" w:cs="STIX MathJax Main"/>
                <w:b/>
                <w:i/>
                <w:sz w:val="18"/>
                <w:szCs w:val="18"/>
              </w:rPr>
              <w:t>t</w:t>
            </w:r>
            <w:r w:rsidRPr="00CD64BA">
              <w:rPr>
                <w:rFonts w:ascii="STIX" w:eastAsia="Times New Roman" w:hAnsi="STIX" w:cs="STIX MathJax Main"/>
                <w:b/>
                <w:sz w:val="18"/>
                <w:szCs w:val="18"/>
              </w:rPr>
              <w:t xml:space="preserve"> </w:t>
            </w:r>
            <w:r w:rsidRPr="00CD64BA">
              <w:rPr>
                <w:rFonts w:ascii="Courier New" w:eastAsia="Times New Roman" w:hAnsi="Courier New" w:cs="STIX MathJax Main"/>
                <w:b/>
                <w:sz w:val="18"/>
                <w:szCs w:val="18"/>
              </w:rPr>
              <w:t>(</w:t>
            </w:r>
            <w:r w:rsidRPr="00CD64BA">
              <w:rPr>
                <w:rFonts w:ascii="STIX" w:eastAsia="Times New Roman" w:hAnsi="STIX" w:cs="STIX MathJax Main"/>
                <w:b/>
                <w:sz w:val="18"/>
                <w:szCs w:val="18"/>
              </w:rPr>
              <w:t>hrs</w:t>
            </w:r>
            <w:r w:rsidRPr="00CD64BA">
              <w:rPr>
                <w:rFonts w:ascii="Courier New" w:eastAsia="Times New Roman" w:hAnsi="Courier New" w:cs="STIX MathJax Main"/>
                <w:b/>
                <w:sz w:val="18"/>
                <w:szCs w:val="18"/>
              </w:rPr>
              <w:t>)</w:t>
            </w:r>
          </w:p>
        </w:tc>
        <w:tc>
          <w:tcPr>
            <w:tcW w:w="1411" w:type="dxa"/>
            <w:tcBorders>
              <w:top w:val="single" w:sz="12" w:space="0" w:color="auto"/>
              <w:bottom w:val="single" w:sz="4"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b/>
                <w:sz w:val="18"/>
                <w:szCs w:val="18"/>
              </w:rPr>
            </w:pPr>
            <w:r w:rsidRPr="00CD64BA">
              <w:rPr>
                <w:rFonts w:ascii="STIX" w:eastAsia="Times New Roman" w:hAnsi="STIX" w:cs="STIX MathJax Main"/>
                <w:b/>
                <w:i/>
                <w:sz w:val="18"/>
                <w:szCs w:val="18"/>
              </w:rPr>
              <w:t>c</w:t>
            </w:r>
            <w:r w:rsidRPr="00CD64BA">
              <w:rPr>
                <w:rFonts w:ascii="STIX" w:eastAsia="Times New Roman" w:hAnsi="STIX" w:cs="STIX MathJax Main"/>
                <w:b/>
                <w:sz w:val="18"/>
                <w:szCs w:val="18"/>
              </w:rPr>
              <w:t xml:space="preserve"> </w:t>
            </w:r>
            <w:r w:rsidRPr="00CD64BA">
              <w:rPr>
                <w:rFonts w:ascii="Courier New" w:eastAsia="Times New Roman" w:hAnsi="Courier New" w:cs="STIX MathJax Main"/>
                <w:b/>
                <w:sz w:val="18"/>
                <w:szCs w:val="18"/>
              </w:rPr>
              <w:t>(</w:t>
            </w:r>
            <w:r w:rsidRPr="00CD64BA">
              <w:rPr>
                <w:rFonts w:ascii="STIX" w:eastAsia="Times New Roman" w:hAnsi="STIX" w:cs="STIX MathJax Main"/>
                <w:b/>
                <w:sz w:val="18"/>
                <w:szCs w:val="18"/>
              </w:rPr>
              <w:t>CFU</w:t>
            </w:r>
            <w:r w:rsidRPr="00CD64BA">
              <w:rPr>
                <w:rFonts w:ascii="Courier New" w:eastAsia="Times New Roman" w:hAnsi="Courier New" w:cs="STIX MathJax Main"/>
                <w:b/>
                <w:sz w:val="18"/>
                <w:szCs w:val="18"/>
              </w:rPr>
              <w:t>/</w:t>
            </w:r>
            <w:r w:rsidRPr="00CD64BA">
              <w:rPr>
                <w:rFonts w:ascii="STIX" w:eastAsia="Times New Roman" w:hAnsi="STIX" w:cs="STIX MathJax Main"/>
                <w:b/>
                <w:sz w:val="18"/>
                <w:szCs w:val="18"/>
              </w:rPr>
              <w:t>100 mL</w:t>
            </w:r>
            <w:r w:rsidRPr="00CD64BA">
              <w:rPr>
                <w:rFonts w:ascii="Courier New" w:eastAsia="Times New Roman" w:hAnsi="Courier New" w:cs="STIX MathJax Main"/>
                <w:b/>
                <w:sz w:val="18"/>
                <w:szCs w:val="18"/>
              </w:rPr>
              <w:t>)</w:t>
            </w:r>
          </w:p>
        </w:tc>
        <w:tc>
          <w:tcPr>
            <w:tcW w:w="992" w:type="dxa"/>
            <w:tcBorders>
              <w:top w:val="single" w:sz="12" w:space="0" w:color="auto"/>
              <w:bottom w:val="single" w:sz="4"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b/>
                <w:sz w:val="18"/>
                <w:szCs w:val="18"/>
              </w:rPr>
            </w:pPr>
            <w:r w:rsidRPr="00CD64BA">
              <w:rPr>
                <w:rFonts w:ascii="STIX" w:eastAsia="Times New Roman" w:hAnsi="STIX" w:cs="STIX MathJax Main"/>
                <w:b/>
                <w:sz w:val="18"/>
                <w:szCs w:val="18"/>
              </w:rPr>
              <w:t>ln</w:t>
            </w:r>
            <w:r w:rsidRPr="00CD64BA">
              <w:rPr>
                <w:rFonts w:ascii="STIX" w:eastAsia="Times New Roman" w:hAnsi="STIX" w:cs="STIX MathJax Main"/>
                <w:b/>
                <w:i/>
                <w:sz w:val="18"/>
                <w:szCs w:val="18"/>
              </w:rPr>
              <w:t xml:space="preserve"> c</w:t>
            </w:r>
          </w:p>
        </w:tc>
      </w:tr>
      <w:tr w:rsidR="00CD64BA" w:rsidRPr="00CD64BA" w:rsidTr="00FF7247">
        <w:trPr>
          <w:trHeight w:val="144"/>
        </w:trPr>
        <w:tc>
          <w:tcPr>
            <w:tcW w:w="0" w:type="auto"/>
            <w:tcBorders>
              <w:top w:val="single" w:sz="4"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4</w:t>
            </w:r>
          </w:p>
        </w:tc>
        <w:tc>
          <w:tcPr>
            <w:tcW w:w="1411" w:type="dxa"/>
            <w:tcBorders>
              <w:top w:val="single" w:sz="4"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1600</w:t>
            </w:r>
          </w:p>
        </w:tc>
        <w:tc>
          <w:tcPr>
            <w:tcW w:w="0" w:type="auto"/>
            <w:tcBorders>
              <w:top w:val="single" w:sz="4"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7.377759</w:t>
            </w:r>
          </w:p>
        </w:tc>
      </w:tr>
      <w:tr w:rsidR="00CD64BA" w:rsidRPr="00CD64BA" w:rsidTr="00FF7247">
        <w:trPr>
          <w:trHeight w:val="144"/>
        </w:trPr>
        <w:tc>
          <w:tcPr>
            <w:tcW w:w="0" w:type="auto"/>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8</w:t>
            </w:r>
          </w:p>
        </w:tc>
        <w:tc>
          <w:tcPr>
            <w:tcW w:w="1411" w:type="dxa"/>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1320</w:t>
            </w:r>
          </w:p>
        </w:tc>
        <w:tc>
          <w:tcPr>
            <w:tcW w:w="0" w:type="auto"/>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7.185387</w:t>
            </w:r>
          </w:p>
        </w:tc>
      </w:tr>
      <w:tr w:rsidR="00CD64BA" w:rsidRPr="00CD64BA" w:rsidTr="00FF7247">
        <w:trPr>
          <w:trHeight w:val="144"/>
        </w:trPr>
        <w:tc>
          <w:tcPr>
            <w:tcW w:w="0" w:type="auto"/>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12</w:t>
            </w:r>
          </w:p>
        </w:tc>
        <w:tc>
          <w:tcPr>
            <w:tcW w:w="1411" w:type="dxa"/>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1000</w:t>
            </w:r>
          </w:p>
        </w:tc>
        <w:tc>
          <w:tcPr>
            <w:tcW w:w="0" w:type="auto"/>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6.907755</w:t>
            </w:r>
          </w:p>
        </w:tc>
      </w:tr>
      <w:tr w:rsidR="00CD64BA" w:rsidRPr="00CD64BA" w:rsidTr="00FF7247">
        <w:trPr>
          <w:trHeight w:val="144"/>
        </w:trPr>
        <w:tc>
          <w:tcPr>
            <w:tcW w:w="0" w:type="auto"/>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16</w:t>
            </w:r>
          </w:p>
        </w:tc>
        <w:tc>
          <w:tcPr>
            <w:tcW w:w="1411" w:type="dxa"/>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890</w:t>
            </w:r>
          </w:p>
        </w:tc>
        <w:tc>
          <w:tcPr>
            <w:tcW w:w="0" w:type="auto"/>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6.791221</w:t>
            </w:r>
          </w:p>
        </w:tc>
      </w:tr>
      <w:tr w:rsidR="00CD64BA" w:rsidRPr="00CD64BA" w:rsidTr="00FF7247">
        <w:trPr>
          <w:trHeight w:val="144"/>
        </w:trPr>
        <w:tc>
          <w:tcPr>
            <w:tcW w:w="0" w:type="auto"/>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20</w:t>
            </w:r>
          </w:p>
        </w:tc>
        <w:tc>
          <w:tcPr>
            <w:tcW w:w="1411" w:type="dxa"/>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650</w:t>
            </w:r>
          </w:p>
        </w:tc>
        <w:tc>
          <w:tcPr>
            <w:tcW w:w="0" w:type="auto"/>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6.476972</w:t>
            </w:r>
          </w:p>
        </w:tc>
      </w:tr>
      <w:tr w:rsidR="00CD64BA" w:rsidRPr="00CD64BA" w:rsidTr="00FF7247">
        <w:trPr>
          <w:trHeight w:val="144"/>
        </w:trPr>
        <w:tc>
          <w:tcPr>
            <w:tcW w:w="0" w:type="auto"/>
            <w:tcBorders>
              <w:bottom w:val="single" w:sz="12"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24</w:t>
            </w:r>
          </w:p>
        </w:tc>
        <w:tc>
          <w:tcPr>
            <w:tcW w:w="1411" w:type="dxa"/>
            <w:tcBorders>
              <w:bottom w:val="single" w:sz="12"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560</w:t>
            </w:r>
          </w:p>
        </w:tc>
        <w:tc>
          <w:tcPr>
            <w:tcW w:w="0" w:type="auto"/>
            <w:tcBorders>
              <w:bottom w:val="single" w:sz="12" w:space="0" w:color="auto"/>
            </w:tcBorders>
            <w:shd w:val="clear" w:color="auto" w:fill="auto"/>
            <w:noWrap/>
            <w:vAlign w:val="center"/>
          </w:tcPr>
          <w:p w:rsidR="00CD64BA" w:rsidRPr="00CD64BA" w:rsidRDefault="00CD64BA" w:rsidP="00CD64BA">
            <w:pPr>
              <w:spacing w:after="0" w:line="240" w:lineRule="auto"/>
              <w:jc w:val="center"/>
              <w:rPr>
                <w:rFonts w:ascii="STIX MathJax Main" w:eastAsia="Times New Roman" w:hAnsi="STIX MathJax Main" w:cs="STIX MathJax Main"/>
                <w:sz w:val="18"/>
                <w:szCs w:val="18"/>
              </w:rPr>
            </w:pPr>
            <w:r w:rsidRPr="00CD64BA">
              <w:rPr>
                <w:rFonts w:ascii="STIX" w:eastAsia="Times New Roman" w:hAnsi="STIX" w:cs="STIX MathJax Main"/>
                <w:sz w:val="18"/>
                <w:szCs w:val="18"/>
              </w:rPr>
              <w:t>6.327937</w:t>
            </w:r>
          </w:p>
        </w:tc>
      </w:tr>
    </w:tbl>
    <w:p w:rsidR="00CD64BA" w:rsidRPr="00CD64BA" w:rsidRDefault="00CD64BA" w:rsidP="00CD64BA">
      <w:pPr>
        <w:spacing w:after="0" w:line="240" w:lineRule="auto"/>
        <w:rPr>
          <w:rFonts w:ascii="STIX" w:eastAsia="Times New Roman" w:hAnsi="STIX"/>
          <w:sz w:val="20"/>
          <w:szCs w:val="24"/>
        </w:rPr>
      </w:pP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sz w:val="20"/>
          <w:szCs w:val="24"/>
        </w:rPr>
        <w:drawing>
          <wp:inline distT="0" distB="0" distL="0" distR="0">
            <wp:extent cx="2362200" cy="1419225"/>
            <wp:effectExtent l="0" t="0" r="0" b="0"/>
            <wp:docPr id="26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srcRect/>
                    <a:stretch>
                      <a:fillRect/>
                    </a:stretch>
                  </pic:blipFill>
                  <pic:spPr bwMode="auto">
                    <a:xfrm>
                      <a:off x="0" y="0"/>
                      <a:ext cx="2362200" cy="1419225"/>
                    </a:xfrm>
                    <a:prstGeom prst="rect">
                      <a:avLst/>
                    </a:prstGeom>
                    <a:noFill/>
                    <a:ln w="9525">
                      <a:noFill/>
                      <a:miter lim="800000"/>
                      <a:headEnd/>
                      <a:tailEnd/>
                    </a:ln>
                  </pic:spPr>
                </pic:pic>
              </a:graphicData>
            </a:graphic>
          </wp:inline>
        </w:drawing>
      </w:r>
    </w:p>
    <w:p w:rsidR="00CD64BA" w:rsidRPr="00CD64BA" w:rsidRDefault="00CD64BA" w:rsidP="00CD64BA">
      <w:pPr>
        <w:spacing w:after="0" w:line="240" w:lineRule="auto"/>
        <w:rPr>
          <w:rFonts w:ascii="STIX" w:eastAsia="Times New Roman" w:hAnsi="STIX"/>
          <w:sz w:val="20"/>
          <w:szCs w:val="24"/>
        </w:rPr>
      </w:pPr>
    </w:p>
    <w:p w:rsidR="00CD64BA" w:rsidRDefault="00CD64BA" w:rsidP="00CD64BA">
      <w:pPr>
        <w:spacing w:after="0" w:line="240" w:lineRule="auto"/>
        <w:rPr>
          <w:rFonts w:ascii="STIX" w:hAnsi="STIX" w:cs="STIX"/>
          <w:i/>
          <w:sz w:val="20"/>
          <w:szCs w:val="20"/>
        </w:rPr>
        <w:sectPr w:rsidR="00CD64BA"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sz w:val="20"/>
          <w:szCs w:val="24"/>
        </w:rPr>
        <w:t xml:space="preserve">Therefore, the coefficient of the exponent </w:t>
      </w:r>
      <w:r w:rsidRPr="00CD64BA">
        <w:rPr>
          <w:rFonts w:ascii="Courier New" w:eastAsia="Times New Roman" w:hAnsi="Courier New"/>
          <w:sz w:val="20"/>
          <w:szCs w:val="24"/>
        </w:rPr>
        <w:t>(</w:t>
      </w:r>
      <w:r w:rsidRPr="00CD64BA">
        <w:rPr>
          <w:rFonts w:ascii="Courier New" w:eastAsia="Times New Roman" w:hAnsi="Courier New"/>
          <w:i/>
          <w:sz w:val="20"/>
          <w:szCs w:val="24"/>
        </w:rPr>
        <w:sym w:font="Symbol" w:char="F062"/>
      </w:r>
      <w:r w:rsidRPr="00CD64BA">
        <w:rPr>
          <w:rFonts w:ascii="STIX" w:eastAsia="Times New Roman" w:hAnsi="STIX"/>
          <w:sz w:val="20"/>
          <w:szCs w:val="24"/>
          <w:vertAlign w:val="subscript"/>
        </w:rPr>
        <w:t>1</w:t>
      </w:r>
      <w:r w:rsidRPr="00CD64BA">
        <w:rPr>
          <w:rFonts w:ascii="Courier New" w:eastAsia="Times New Roman" w:hAnsi="Courier New"/>
          <w:sz w:val="20"/>
          <w:szCs w:val="24"/>
        </w:rPr>
        <w:t>)</w:t>
      </w:r>
      <w:r w:rsidRPr="00CD64BA">
        <w:rPr>
          <w:rFonts w:ascii="STIX" w:eastAsia="Times New Roman" w:hAnsi="STIX"/>
          <w:sz w:val="20"/>
          <w:szCs w:val="24"/>
        </w:rPr>
        <w:t xml:space="preserve"> is </w:t>
      </w:r>
      <w:r w:rsidRPr="00CD64BA">
        <w:rPr>
          <w:rFonts w:ascii="Courier New" w:eastAsia="Times New Roman" w:hAnsi="Courier New"/>
          <w:sz w:val="20"/>
          <w:szCs w:val="24"/>
        </w:rPr>
        <w:t>–</w:t>
      </w:r>
      <w:r w:rsidRPr="00CD64BA">
        <w:rPr>
          <w:rFonts w:ascii="STIX" w:eastAsia="Times New Roman" w:hAnsi="STIX"/>
          <w:sz w:val="20"/>
          <w:szCs w:val="24"/>
        </w:rPr>
        <w:t xml:space="preserve">0.0535 and the lead coefficient </w:t>
      </w:r>
      <w:r w:rsidRPr="00CD64BA">
        <w:rPr>
          <w:rFonts w:ascii="Courier New" w:eastAsia="Times New Roman" w:hAnsi="Courier New"/>
          <w:sz w:val="20"/>
          <w:szCs w:val="24"/>
        </w:rPr>
        <w:t>(</w:t>
      </w:r>
      <w:r w:rsidRPr="00CD64BA">
        <w:rPr>
          <w:rFonts w:ascii="Courier New" w:eastAsia="Times New Roman" w:hAnsi="Courier New"/>
          <w:i/>
          <w:sz w:val="20"/>
          <w:szCs w:val="24"/>
        </w:rPr>
        <w:sym w:font="Symbol" w:char="F061"/>
      </w:r>
      <w:r w:rsidRPr="00CD64BA">
        <w:rPr>
          <w:rFonts w:ascii="STIX" w:eastAsia="Times New Roman" w:hAnsi="STIX"/>
          <w:sz w:val="20"/>
          <w:szCs w:val="24"/>
          <w:vertAlign w:val="subscript"/>
        </w:rPr>
        <w:t>1</w:t>
      </w:r>
      <w:r w:rsidRPr="00CD64BA">
        <w:rPr>
          <w:rFonts w:ascii="Courier New" w:eastAsia="Times New Roman" w:hAnsi="Courier New"/>
          <w:sz w:val="20"/>
          <w:szCs w:val="24"/>
        </w:rPr>
        <w:t>)</w:t>
      </w:r>
      <w:r w:rsidRPr="00CD64BA">
        <w:rPr>
          <w:rFonts w:ascii="STIX" w:eastAsia="Times New Roman" w:hAnsi="STIX"/>
          <w:sz w:val="20"/>
          <w:szCs w:val="24"/>
        </w:rPr>
        <w:t xml:space="preserve"> is </w:t>
      </w:r>
      <w:r w:rsidRPr="00CD64BA">
        <w:rPr>
          <w:rFonts w:ascii="STIX" w:eastAsia="Times New Roman" w:hAnsi="STIX"/>
          <w:i/>
          <w:sz w:val="20"/>
          <w:szCs w:val="24"/>
        </w:rPr>
        <w:t>e</w:t>
      </w:r>
      <w:r w:rsidRPr="00CD64BA">
        <w:rPr>
          <w:rFonts w:ascii="STIX" w:eastAsia="Times New Roman" w:hAnsi="STIX"/>
          <w:sz w:val="20"/>
          <w:szCs w:val="24"/>
          <w:vertAlign w:val="superscript"/>
        </w:rPr>
        <w:t>7.5936</w:t>
      </w:r>
      <w:r w:rsidRPr="00CD64BA">
        <w:rPr>
          <w:rFonts w:ascii="STIX" w:eastAsia="Times New Roman" w:hAnsi="STIX"/>
          <w:sz w:val="20"/>
          <w:szCs w:val="24"/>
        </w:rPr>
        <w:t xml:space="preserve"> </w:t>
      </w:r>
      <w:r w:rsidRPr="00CD64BA">
        <w:rPr>
          <w:rFonts w:ascii="Courier New" w:eastAsia="Times New Roman" w:hAnsi="Courier New"/>
          <w:sz w:val="20"/>
          <w:szCs w:val="24"/>
        </w:rPr>
        <w:t>=</w:t>
      </w:r>
      <w:r w:rsidRPr="00CD64BA">
        <w:rPr>
          <w:rFonts w:ascii="STIX" w:eastAsia="Times New Roman" w:hAnsi="STIX"/>
          <w:sz w:val="20"/>
          <w:szCs w:val="24"/>
        </w:rPr>
        <w:t xml:space="preserve"> 1985.437, and the fit is</w:t>
      </w:r>
    </w:p>
    <w:p w:rsidR="00CD64BA" w:rsidRPr="00CD64BA" w:rsidRDefault="00CD64BA" w:rsidP="00CD64BA">
      <w:pPr>
        <w:spacing w:after="0" w:line="240" w:lineRule="auto"/>
        <w:rPr>
          <w:rFonts w:ascii="STIX" w:eastAsia="Times New Roman" w:hAnsi="STIX"/>
          <w:sz w:val="20"/>
          <w:szCs w:val="24"/>
        </w:rPr>
      </w:pPr>
    </w:p>
    <w:p w:rsidR="00CD64BA" w:rsidRPr="00CD64BA" w:rsidRDefault="00CD64BA" w:rsidP="00CD64BA">
      <w:pPr>
        <w:spacing w:after="0" w:line="240" w:lineRule="auto"/>
        <w:ind w:left="360"/>
        <w:rPr>
          <w:rFonts w:ascii="STIX" w:eastAsia="Times New Roman" w:hAnsi="STIX"/>
          <w:sz w:val="20"/>
          <w:szCs w:val="24"/>
        </w:rPr>
      </w:pPr>
      <w:r w:rsidRPr="00CD64BA">
        <w:rPr>
          <w:rFonts w:ascii="STIX" w:eastAsia="Times New Roman" w:hAnsi="STIX" w:cs="STIX MathJax Main"/>
          <w:position w:val="-6"/>
          <w:sz w:val="20"/>
          <w:szCs w:val="24"/>
        </w:rPr>
        <w:object w:dxaOrig="19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46" type="#_x0000_t75" style="width:96.75pt;height:17.25pt" o:ole="">
            <v:imagedata r:id="rId11" o:title=""/>
          </v:shape>
          <o:OLEObject Type="Embed" ProgID="Equation.DSMT4" ShapeID="_x0000_i13446" DrawAspect="Content" ObjectID="_1552403505" r:id="rId12"/>
        </w:object>
      </w: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sz w:val="20"/>
          <w:szCs w:val="24"/>
        </w:rPr>
        <w:t xml:space="preserve">Consequently the concentration at </w:t>
      </w:r>
      <w:r w:rsidRPr="00CD64BA">
        <w:rPr>
          <w:rFonts w:ascii="STIX" w:eastAsia="Times New Roman" w:hAnsi="STIX"/>
          <w:i/>
          <w:sz w:val="20"/>
          <w:szCs w:val="24"/>
        </w:rPr>
        <w:t>t</w:t>
      </w:r>
      <w:r w:rsidRPr="00CD64BA">
        <w:rPr>
          <w:rFonts w:ascii="STIX" w:eastAsia="Times New Roman" w:hAnsi="STIX"/>
          <w:sz w:val="20"/>
          <w:szCs w:val="24"/>
        </w:rPr>
        <w:t xml:space="preserve"> </w:t>
      </w:r>
      <w:r w:rsidRPr="00CD64BA">
        <w:rPr>
          <w:rFonts w:ascii="Courier New" w:eastAsia="Times New Roman" w:hAnsi="Courier New"/>
          <w:sz w:val="20"/>
          <w:szCs w:val="24"/>
        </w:rPr>
        <w:t>=</w:t>
      </w:r>
      <w:r w:rsidRPr="00CD64BA">
        <w:rPr>
          <w:rFonts w:ascii="STIX" w:eastAsia="Times New Roman" w:hAnsi="STIX"/>
          <w:sz w:val="20"/>
          <w:szCs w:val="24"/>
        </w:rPr>
        <w:t xml:space="preserve"> 0 is 1985.437 CFU</w:t>
      </w:r>
      <w:r w:rsidRPr="00CD64BA">
        <w:rPr>
          <w:rFonts w:ascii="Courier New" w:eastAsia="Times New Roman" w:hAnsi="Courier New"/>
          <w:sz w:val="20"/>
          <w:szCs w:val="24"/>
        </w:rPr>
        <w:t>/</w:t>
      </w:r>
      <w:r w:rsidRPr="00CD64BA">
        <w:rPr>
          <w:rFonts w:ascii="STIX" w:eastAsia="Times New Roman" w:hAnsi="STIX"/>
          <w:sz w:val="20"/>
          <w:szCs w:val="24"/>
        </w:rPr>
        <w:t>100 ml. Here is a plot of the fit along with the original data:</w:t>
      </w:r>
    </w:p>
    <w:p w:rsidR="00CD64BA" w:rsidRPr="00CD64BA" w:rsidRDefault="00CD64BA" w:rsidP="00CD64BA">
      <w:pPr>
        <w:spacing w:after="0" w:line="240" w:lineRule="auto"/>
        <w:rPr>
          <w:rFonts w:ascii="STIX" w:eastAsia="Times New Roman" w:hAnsi="STIX"/>
          <w:sz w:val="20"/>
          <w:szCs w:val="24"/>
        </w:rPr>
      </w:pP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sz w:val="20"/>
          <w:szCs w:val="24"/>
        </w:rPr>
        <w:drawing>
          <wp:inline distT="0" distB="0" distL="0" distR="0">
            <wp:extent cx="2505075" cy="1352550"/>
            <wp:effectExtent l="0" t="0" r="0" b="0"/>
            <wp:docPr id="26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srcRect/>
                    <a:stretch>
                      <a:fillRect/>
                    </a:stretch>
                  </pic:blipFill>
                  <pic:spPr bwMode="auto">
                    <a:xfrm>
                      <a:off x="0" y="0"/>
                      <a:ext cx="2505075" cy="1352550"/>
                    </a:xfrm>
                    <a:prstGeom prst="rect">
                      <a:avLst/>
                    </a:prstGeom>
                    <a:noFill/>
                    <a:ln w="9525">
                      <a:noFill/>
                      <a:miter lim="800000"/>
                      <a:headEnd/>
                      <a:tailEnd/>
                    </a:ln>
                  </pic:spPr>
                </pic:pic>
              </a:graphicData>
            </a:graphic>
          </wp:inline>
        </w:drawing>
      </w:r>
    </w:p>
    <w:p w:rsidR="00CD64BA" w:rsidRPr="00CD64BA" w:rsidRDefault="00CD64BA" w:rsidP="00CD64BA">
      <w:pPr>
        <w:spacing w:after="0" w:line="240" w:lineRule="auto"/>
        <w:rPr>
          <w:rFonts w:ascii="STIX" w:eastAsia="Times New Roman" w:hAnsi="STIX"/>
          <w:b/>
          <w:sz w:val="20"/>
          <w:szCs w:val="24"/>
        </w:rPr>
      </w:pPr>
    </w:p>
    <w:p w:rsidR="00CD64BA" w:rsidRPr="00CD64BA" w:rsidRDefault="00CD64BA" w:rsidP="00CD64BA">
      <w:pPr>
        <w:spacing w:after="0" w:line="240" w:lineRule="auto"/>
        <w:rPr>
          <w:rFonts w:ascii="STIX" w:eastAsia="Times New Roman" w:hAnsi="STIX"/>
          <w:sz w:val="20"/>
          <w:szCs w:val="24"/>
        </w:rPr>
      </w:pPr>
      <w:r w:rsidRPr="00CD64BA">
        <w:rPr>
          <w:rFonts w:ascii="STIX" w:eastAsia="Times New Roman" w:hAnsi="STIX"/>
          <w:b/>
          <w:sz w:val="20"/>
          <w:szCs w:val="24"/>
        </w:rPr>
        <w:t>(b)</w:t>
      </w:r>
      <w:r w:rsidRPr="00CD64BA">
        <w:rPr>
          <w:rFonts w:ascii="STIX" w:eastAsia="Times New Roman" w:hAnsi="STIX"/>
          <w:sz w:val="20"/>
          <w:szCs w:val="24"/>
        </w:rPr>
        <w:t xml:space="preserve"> The time at which the concentration will reach 200 CFU</w:t>
      </w:r>
      <w:r w:rsidRPr="00CD64BA">
        <w:rPr>
          <w:rFonts w:ascii="Courier New" w:eastAsia="Times New Roman" w:hAnsi="Courier New"/>
          <w:sz w:val="20"/>
          <w:szCs w:val="24"/>
        </w:rPr>
        <w:t>/</w:t>
      </w:r>
      <w:r w:rsidRPr="00CD64BA">
        <w:rPr>
          <w:rFonts w:ascii="STIX" w:eastAsia="Times New Roman" w:hAnsi="STIX"/>
          <w:sz w:val="20"/>
          <w:szCs w:val="24"/>
        </w:rPr>
        <w:t xml:space="preserve">100 mL can be computed as </w:t>
      </w:r>
    </w:p>
    <w:p w:rsidR="00CD64BA" w:rsidRPr="00CD64BA" w:rsidRDefault="00CD64BA" w:rsidP="00CD64BA">
      <w:pPr>
        <w:spacing w:after="0" w:line="240" w:lineRule="auto"/>
        <w:rPr>
          <w:rFonts w:ascii="STIX" w:eastAsia="Times New Roman" w:hAnsi="STIX"/>
          <w:sz w:val="20"/>
          <w:szCs w:val="24"/>
        </w:rPr>
      </w:pPr>
    </w:p>
    <w:p w:rsidR="00CD64BA" w:rsidRPr="00CD64BA" w:rsidRDefault="00CD64BA" w:rsidP="00CD64BA">
      <w:pPr>
        <w:spacing w:after="0" w:line="240" w:lineRule="auto"/>
        <w:ind w:left="360"/>
        <w:rPr>
          <w:rFonts w:ascii="STIX" w:eastAsia="Times New Roman" w:hAnsi="STIX"/>
          <w:sz w:val="20"/>
          <w:szCs w:val="24"/>
        </w:rPr>
      </w:pPr>
      <w:r w:rsidRPr="00CD64BA">
        <w:rPr>
          <w:rFonts w:ascii="STIX" w:eastAsia="Times New Roman" w:hAnsi="STIX" w:cs="STIX MathJax Main"/>
          <w:position w:val="-6"/>
          <w:sz w:val="20"/>
          <w:szCs w:val="24"/>
        </w:rPr>
        <w:object w:dxaOrig="2200" w:dyaOrig="340">
          <v:shape id="_x0000_i13447" type="#_x0000_t75" style="width:110.25pt;height:17.25pt" o:ole="">
            <v:imagedata r:id="rId14" o:title=""/>
          </v:shape>
          <o:OLEObject Type="Embed" ProgID="Equation.DSMT4" ShapeID="_x0000_i13447" DrawAspect="Content" ObjectID="_1552403506" r:id="rId15"/>
        </w:object>
      </w:r>
      <w:r w:rsidRPr="00CD64BA">
        <w:rPr>
          <w:rFonts w:ascii="STIX" w:eastAsia="Times New Roman" w:hAnsi="STIX"/>
          <w:sz w:val="20"/>
          <w:szCs w:val="24"/>
        </w:rPr>
        <w:t xml:space="preserve"> </w:t>
      </w:r>
    </w:p>
    <w:p w:rsidR="00CD64BA" w:rsidRPr="00CD64BA" w:rsidRDefault="00CD64BA" w:rsidP="00CD64BA">
      <w:pPr>
        <w:spacing w:after="0" w:line="240" w:lineRule="auto"/>
        <w:ind w:left="360"/>
        <w:rPr>
          <w:rFonts w:ascii="STIX" w:eastAsia="Times New Roman" w:hAnsi="STIX"/>
          <w:sz w:val="20"/>
          <w:szCs w:val="24"/>
        </w:rPr>
      </w:pPr>
    </w:p>
    <w:p w:rsidR="00CD64BA" w:rsidRPr="00CD64BA" w:rsidRDefault="00CD64BA" w:rsidP="00CD64BA">
      <w:pPr>
        <w:spacing w:after="0" w:line="240" w:lineRule="auto"/>
        <w:ind w:left="360"/>
        <w:rPr>
          <w:rFonts w:ascii="Times New Roman" w:eastAsia="Times New Roman" w:hAnsi="Times New Roman"/>
          <w:sz w:val="20"/>
          <w:szCs w:val="24"/>
        </w:rPr>
      </w:pPr>
      <w:r w:rsidRPr="00CD64BA">
        <w:rPr>
          <w:rFonts w:ascii="STIX" w:eastAsia="Times New Roman" w:hAnsi="STIX" w:cs="STIX MathJax Main"/>
          <w:position w:val="-30"/>
          <w:sz w:val="20"/>
          <w:szCs w:val="24"/>
        </w:rPr>
        <w:object w:dxaOrig="2540" w:dyaOrig="720">
          <v:shape id="_x0000_i13448" type="#_x0000_t75" style="width:126.75pt;height:36pt" o:ole="">
            <v:imagedata r:id="rId16" o:title=""/>
          </v:shape>
          <o:OLEObject Type="Embed" ProgID="Equation.DSMT4" ShapeID="_x0000_i13448" DrawAspect="Content" ObjectID="_1552403507" r:id="rId17"/>
        </w:object>
      </w:r>
    </w:p>
    <w:p w:rsidR="00CD64BA" w:rsidRPr="00CD64BA" w:rsidRDefault="00CD64BA" w:rsidP="00CD64BA">
      <w:pPr>
        <w:spacing w:after="0" w:line="240" w:lineRule="auto"/>
        <w:ind w:left="360"/>
        <w:rPr>
          <w:rFonts w:ascii="STIX" w:eastAsia="Times New Roman" w:hAnsi="STIX"/>
          <w:sz w:val="20"/>
          <w:szCs w:val="24"/>
        </w:rPr>
      </w:pPr>
    </w:p>
    <w:p w:rsidR="00CD64BA" w:rsidRPr="00CD64BA" w:rsidRDefault="00CD64BA" w:rsidP="00CD64BA">
      <w:pPr>
        <w:spacing w:after="0" w:line="240" w:lineRule="auto"/>
        <w:ind w:left="360"/>
        <w:rPr>
          <w:rFonts w:ascii="STIX" w:eastAsia="Times New Roman" w:hAnsi="STIX"/>
          <w:sz w:val="20"/>
          <w:szCs w:val="24"/>
        </w:rPr>
      </w:pPr>
      <w:r w:rsidRPr="00CD64BA">
        <w:rPr>
          <w:rFonts w:ascii="STIX" w:eastAsia="Times New Roman" w:hAnsi="STIX" w:cs="STIX MathJax Main"/>
          <w:position w:val="-24"/>
          <w:sz w:val="20"/>
          <w:szCs w:val="24"/>
        </w:rPr>
        <w:object w:dxaOrig="3100" w:dyaOrig="999">
          <v:shape id="_x0000_i13449" type="#_x0000_t75" style="width:155.25pt;height:50.25pt" o:ole="">
            <v:imagedata r:id="rId18" o:title=""/>
          </v:shape>
          <o:OLEObject Type="Embed" ProgID="Equation.DSMT4" ShapeID="_x0000_i13449" DrawAspect="Content" ObjectID="_1552403508" r:id="rId19"/>
        </w:object>
      </w:r>
    </w:p>
    <w:p w:rsidR="00CA4B33" w:rsidRPr="00CA4B33" w:rsidRDefault="00CA4B33" w:rsidP="00CD64BA">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FCD52-0765-4FCA-B1F8-1816016B8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907</Characters>
  <Application>Microsoft Office Word</Application>
  <DocSecurity>0</DocSecurity>
  <Lines>7</Lines>
  <Paragraphs>2</Paragraphs>
  <ScaleCrop>false</ScaleCrop>
  <Company/>
  <LinksUpToDate>false</LinksUpToDate>
  <CharactersWithSpaces>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2017-03-30T21:14:00Z</dcterms:created>
  <dcterms:modified xsi:type="dcterms:W3CDTF">2017-03-30T21:14:00Z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