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F42BE">
        <w:rPr>
          <w:b/>
          <w:noProof/>
          <w:sz w:val="20"/>
          <w:szCs w:val="20"/>
        </w:rPr>
        <w:t>4.31</w:t>
      </w:r>
    </w:p>
    <w:p w:rsidR="000F4137" w:rsidRPr="00C22979" w:rsidRDefault="000F4137" w:rsidP="001B2705">
      <w:pPr>
        <w:pStyle w:val="Default"/>
        <w:rPr>
          <w:b/>
          <w:noProof/>
          <w:sz w:val="20"/>
          <w:szCs w:val="20"/>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t>We can use transformations to linearize the model as</w:t>
      </w:r>
    </w:p>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cs="STIX MathJax Main"/>
          <w:position w:val="-30"/>
          <w:sz w:val="20"/>
          <w:szCs w:val="24"/>
        </w:rPr>
        <w:object w:dxaOrig="17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87" type="#_x0000_t75" style="width:87pt;height:35.25pt" o:ole="">
            <v:imagedata r:id="rId8" o:title=""/>
          </v:shape>
          <o:OLEObject Type="Embed" ProgID="Equation.DSMT4" ShapeID="_x0000_i13887" DrawAspect="Content" ObjectID="_1552404279" r:id="rId9"/>
        </w:object>
      </w:r>
    </w:p>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t xml:space="preserve">Thus, we can plot the natural log of </w:t>
      </w:r>
      <w:r w:rsidRPr="001F42BE">
        <w:rPr>
          <w:rFonts w:ascii="Courier New" w:eastAsia="Times New Roman" w:hAnsi="Courier New"/>
          <w:i/>
          <w:sz w:val="20"/>
          <w:szCs w:val="24"/>
        </w:rPr>
        <w:sym w:font="Symbol" w:char="F06D"/>
      </w:r>
      <w:r w:rsidRPr="001F42BE">
        <w:rPr>
          <w:rFonts w:ascii="STIX" w:eastAsia="Times New Roman" w:hAnsi="STIX"/>
          <w:sz w:val="20"/>
          <w:szCs w:val="24"/>
        </w:rPr>
        <w:t xml:space="preserve"> versus 1</w:t>
      </w:r>
      <w:r w:rsidRPr="001F42BE">
        <w:rPr>
          <w:rFonts w:ascii="Courier New" w:eastAsia="Times New Roman" w:hAnsi="Courier New"/>
          <w:sz w:val="20"/>
          <w:szCs w:val="24"/>
        </w:rPr>
        <w:t>/</w:t>
      </w:r>
      <w:r w:rsidRPr="001F42BE">
        <w:rPr>
          <w:rFonts w:ascii="STIX" w:eastAsia="Times New Roman" w:hAnsi="STIX"/>
          <w:i/>
          <w:sz w:val="20"/>
          <w:szCs w:val="24"/>
        </w:rPr>
        <w:t>T</w:t>
      </w:r>
      <w:r w:rsidRPr="001F42BE">
        <w:rPr>
          <w:rFonts w:ascii="STIX" w:eastAsia="Times New Roman" w:hAnsi="STIX"/>
          <w:i/>
          <w:sz w:val="20"/>
          <w:szCs w:val="24"/>
          <w:vertAlign w:val="subscript"/>
        </w:rPr>
        <w:t>a</w:t>
      </w:r>
      <w:r w:rsidRPr="001F42BE">
        <w:rPr>
          <w:rFonts w:ascii="STIX" w:eastAsia="Times New Roman" w:hAnsi="STIX"/>
          <w:sz w:val="20"/>
          <w:szCs w:val="24"/>
        </w:rPr>
        <w:t xml:space="preserve"> and use linear regression to determine the parameters. Here is the data showing the transformations.</w:t>
      </w:r>
    </w:p>
    <w:p w:rsidR="001F42BE" w:rsidRPr="001F42BE" w:rsidRDefault="001F42BE" w:rsidP="001F42BE">
      <w:pPr>
        <w:spacing w:after="0" w:line="240" w:lineRule="auto"/>
        <w:rPr>
          <w:rFonts w:ascii="STIX" w:eastAsia="Times New Roman" w:hAnsi="STIX"/>
          <w:sz w:val="20"/>
          <w:szCs w:val="24"/>
        </w:rPr>
      </w:pPr>
    </w:p>
    <w:tbl>
      <w:tblPr>
        <w:tblW w:w="4670" w:type="dxa"/>
        <w:tblInd w:w="468" w:type="dxa"/>
        <w:tblLook w:val="0000"/>
      </w:tblPr>
      <w:tblGrid>
        <w:gridCol w:w="616"/>
        <w:gridCol w:w="976"/>
        <w:gridCol w:w="976"/>
        <w:gridCol w:w="1051"/>
        <w:gridCol w:w="1051"/>
      </w:tblGrid>
      <w:tr w:rsidR="001F42BE" w:rsidRPr="001F42BE" w:rsidTr="00FF7247">
        <w:trPr>
          <w:trHeight w:val="144"/>
        </w:trPr>
        <w:tc>
          <w:tcPr>
            <w:tcW w:w="616" w:type="dxa"/>
            <w:tcBorders>
              <w:top w:val="single" w:sz="12" w:space="0" w:color="auto"/>
              <w:left w:val="nil"/>
              <w:bottom w:val="single" w:sz="4" w:space="0" w:color="auto"/>
              <w:right w:val="nil"/>
            </w:tcBorders>
            <w:shd w:val="clear" w:color="auto" w:fill="auto"/>
            <w:noWrap/>
            <w:vAlign w:val="center"/>
          </w:tcPr>
          <w:p w:rsidR="001F42BE" w:rsidRPr="001F42BE" w:rsidRDefault="001F42BE" w:rsidP="001F42BE">
            <w:pPr>
              <w:spacing w:after="0" w:line="240" w:lineRule="auto"/>
              <w:jc w:val="center"/>
              <w:rPr>
                <w:rFonts w:ascii="STIX MathJax Main" w:eastAsia="Times New Roman" w:hAnsi="STIX MathJax Main" w:cs="STIX MathJax Main"/>
                <w:b/>
                <w:i/>
                <w:sz w:val="18"/>
                <w:szCs w:val="20"/>
              </w:rPr>
            </w:pPr>
            <w:r w:rsidRPr="001F42BE">
              <w:rPr>
                <w:rFonts w:ascii="STIX" w:eastAsia="Times New Roman" w:hAnsi="STIX" w:cs="STIX MathJax Main"/>
                <w:b/>
                <w:i/>
                <w:sz w:val="18"/>
                <w:szCs w:val="20"/>
              </w:rPr>
              <w:t>T</w:t>
            </w:r>
          </w:p>
        </w:tc>
        <w:tc>
          <w:tcPr>
            <w:tcW w:w="976" w:type="dxa"/>
            <w:tcBorders>
              <w:top w:val="single" w:sz="12" w:space="0" w:color="auto"/>
              <w:left w:val="nil"/>
              <w:bottom w:val="single" w:sz="4" w:space="0" w:color="auto"/>
              <w:right w:val="nil"/>
            </w:tcBorders>
            <w:shd w:val="clear" w:color="auto" w:fill="auto"/>
            <w:noWrap/>
            <w:vAlign w:val="center"/>
          </w:tcPr>
          <w:p w:rsidR="001F42BE" w:rsidRPr="001F42BE" w:rsidRDefault="001F42BE" w:rsidP="001F42BE">
            <w:pPr>
              <w:spacing w:after="0" w:line="240" w:lineRule="auto"/>
              <w:jc w:val="center"/>
              <w:rPr>
                <w:rFonts w:ascii="Courier New" w:eastAsia="Times New Roman" w:hAnsi="Courier New" w:cs="STIX MathJax Main"/>
                <w:b/>
                <w:i/>
                <w:sz w:val="18"/>
                <w:szCs w:val="20"/>
              </w:rPr>
            </w:pPr>
            <w:r w:rsidRPr="001F42BE">
              <w:rPr>
                <w:rFonts w:ascii="Courier New" w:eastAsia="Times New Roman" w:hAnsi="Courier New" w:cs="STIX MathJax Main"/>
                <w:b/>
                <w:i/>
                <w:sz w:val="18"/>
                <w:szCs w:val="20"/>
              </w:rPr>
              <w:sym w:font="Symbol" w:char="F06D"/>
            </w:r>
          </w:p>
        </w:tc>
        <w:tc>
          <w:tcPr>
            <w:tcW w:w="976" w:type="dxa"/>
            <w:tcBorders>
              <w:top w:val="single" w:sz="12" w:space="0" w:color="auto"/>
              <w:left w:val="nil"/>
              <w:bottom w:val="single" w:sz="4" w:space="0" w:color="auto"/>
              <w:right w:val="nil"/>
            </w:tcBorders>
            <w:shd w:val="clear" w:color="auto" w:fill="auto"/>
            <w:noWrap/>
            <w:vAlign w:val="center"/>
          </w:tcPr>
          <w:p w:rsidR="001F42BE" w:rsidRPr="001F42BE" w:rsidRDefault="001F42BE" w:rsidP="001F42BE">
            <w:pPr>
              <w:spacing w:after="0" w:line="240" w:lineRule="auto"/>
              <w:jc w:val="center"/>
              <w:rPr>
                <w:rFonts w:ascii="STIX MathJax Main" w:eastAsia="Times New Roman" w:hAnsi="STIX MathJax Main" w:cs="STIX MathJax Main"/>
                <w:b/>
                <w:i/>
                <w:sz w:val="18"/>
                <w:szCs w:val="20"/>
              </w:rPr>
            </w:pPr>
            <w:r w:rsidRPr="001F42BE">
              <w:rPr>
                <w:rFonts w:ascii="STIX" w:eastAsia="Times New Roman" w:hAnsi="STIX" w:cs="STIX MathJax Main"/>
                <w:b/>
                <w:i/>
                <w:sz w:val="18"/>
                <w:szCs w:val="20"/>
              </w:rPr>
              <w:t>T</w:t>
            </w:r>
            <w:r w:rsidRPr="001F42BE">
              <w:rPr>
                <w:rFonts w:ascii="STIX" w:eastAsia="Times New Roman" w:hAnsi="STIX" w:cs="STIX MathJax Main"/>
                <w:b/>
                <w:i/>
                <w:sz w:val="18"/>
                <w:szCs w:val="20"/>
                <w:vertAlign w:val="subscript"/>
              </w:rPr>
              <w:t>a</w:t>
            </w:r>
          </w:p>
        </w:tc>
        <w:tc>
          <w:tcPr>
            <w:tcW w:w="1051" w:type="dxa"/>
            <w:tcBorders>
              <w:top w:val="single" w:sz="12" w:space="0" w:color="auto"/>
              <w:left w:val="nil"/>
              <w:bottom w:val="single" w:sz="4" w:space="0" w:color="auto"/>
              <w:right w:val="nil"/>
            </w:tcBorders>
            <w:shd w:val="clear" w:color="auto" w:fill="auto"/>
            <w:noWrap/>
            <w:vAlign w:val="center"/>
          </w:tcPr>
          <w:p w:rsidR="001F42BE" w:rsidRPr="001F42BE" w:rsidRDefault="001F42BE" w:rsidP="001F42BE">
            <w:pPr>
              <w:spacing w:after="0" w:line="240" w:lineRule="auto"/>
              <w:jc w:val="center"/>
              <w:rPr>
                <w:rFonts w:ascii="STIX MathJax Main" w:eastAsia="Times New Roman" w:hAnsi="STIX MathJax Main" w:cs="STIX MathJax Main"/>
                <w:b/>
                <w:sz w:val="18"/>
                <w:szCs w:val="20"/>
              </w:rPr>
            </w:pPr>
            <w:r w:rsidRPr="001F42BE">
              <w:rPr>
                <w:rFonts w:ascii="STIX" w:eastAsia="Times New Roman" w:hAnsi="STIX" w:cs="STIX MathJax Main"/>
                <w:b/>
                <w:sz w:val="18"/>
                <w:szCs w:val="20"/>
              </w:rPr>
              <w:t>1</w:t>
            </w:r>
            <w:r w:rsidRPr="001F42BE">
              <w:rPr>
                <w:rFonts w:ascii="Courier New" w:eastAsia="Times New Roman" w:hAnsi="Courier New" w:cs="STIX MathJax Main"/>
                <w:b/>
                <w:sz w:val="18"/>
                <w:szCs w:val="20"/>
              </w:rPr>
              <w:t>/</w:t>
            </w:r>
            <w:r w:rsidRPr="001F42BE">
              <w:rPr>
                <w:rFonts w:ascii="STIX" w:eastAsia="Times New Roman" w:hAnsi="STIX" w:cs="STIX MathJax Main"/>
                <w:b/>
                <w:i/>
                <w:sz w:val="18"/>
                <w:szCs w:val="20"/>
              </w:rPr>
              <w:t>T</w:t>
            </w:r>
            <w:r w:rsidRPr="001F42BE">
              <w:rPr>
                <w:rFonts w:ascii="STIX" w:eastAsia="Times New Roman" w:hAnsi="STIX" w:cs="STIX MathJax Main"/>
                <w:b/>
                <w:i/>
                <w:sz w:val="18"/>
                <w:szCs w:val="20"/>
                <w:vertAlign w:val="subscript"/>
              </w:rPr>
              <w:t>a</w:t>
            </w:r>
          </w:p>
        </w:tc>
        <w:tc>
          <w:tcPr>
            <w:tcW w:w="1051" w:type="dxa"/>
            <w:tcBorders>
              <w:top w:val="single" w:sz="12" w:space="0" w:color="auto"/>
              <w:left w:val="nil"/>
              <w:bottom w:val="single" w:sz="4" w:space="0" w:color="auto"/>
              <w:right w:val="nil"/>
            </w:tcBorders>
            <w:shd w:val="clear" w:color="auto" w:fill="auto"/>
            <w:noWrap/>
            <w:vAlign w:val="center"/>
          </w:tcPr>
          <w:p w:rsidR="001F42BE" w:rsidRPr="001F42BE" w:rsidRDefault="001F42BE" w:rsidP="001F42BE">
            <w:pPr>
              <w:spacing w:after="0" w:line="240" w:lineRule="auto"/>
              <w:jc w:val="center"/>
              <w:rPr>
                <w:rFonts w:ascii="STIX MathJax Main" w:eastAsia="Times New Roman" w:hAnsi="STIX MathJax Main" w:cs="STIX MathJax Main"/>
                <w:b/>
                <w:sz w:val="18"/>
                <w:szCs w:val="20"/>
              </w:rPr>
            </w:pPr>
            <w:r w:rsidRPr="001F42BE">
              <w:rPr>
                <w:rFonts w:ascii="STIX" w:eastAsia="Times New Roman" w:hAnsi="STIX" w:cs="STIX MathJax Main"/>
                <w:b/>
                <w:sz w:val="18"/>
                <w:szCs w:val="20"/>
              </w:rPr>
              <w:t xml:space="preserve">ln </w:t>
            </w:r>
            <w:r w:rsidRPr="001F42BE">
              <w:rPr>
                <w:rFonts w:ascii="Courier New" w:eastAsia="Times New Roman" w:hAnsi="Courier New" w:cs="STIX MathJax Main"/>
                <w:b/>
                <w:i/>
                <w:sz w:val="18"/>
                <w:szCs w:val="20"/>
              </w:rPr>
              <w:sym w:font="Symbol" w:char="F06D"/>
            </w:r>
          </w:p>
        </w:tc>
      </w:tr>
      <w:tr w:rsidR="001F42BE" w:rsidRPr="001F42BE" w:rsidTr="00FF7247">
        <w:trPr>
          <w:trHeight w:val="144"/>
        </w:trPr>
        <w:tc>
          <w:tcPr>
            <w:tcW w:w="616" w:type="dxa"/>
            <w:tcBorders>
              <w:top w:val="single" w:sz="4" w:space="0" w:color="auto"/>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w:t>
            </w:r>
          </w:p>
        </w:tc>
        <w:tc>
          <w:tcPr>
            <w:tcW w:w="976" w:type="dxa"/>
            <w:tcBorders>
              <w:top w:val="single" w:sz="4" w:space="0" w:color="auto"/>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1.787</w:t>
            </w:r>
          </w:p>
        </w:tc>
        <w:tc>
          <w:tcPr>
            <w:tcW w:w="976" w:type="dxa"/>
            <w:tcBorders>
              <w:top w:val="single" w:sz="4" w:space="0" w:color="auto"/>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273.15</w:t>
            </w:r>
          </w:p>
        </w:tc>
        <w:tc>
          <w:tcPr>
            <w:tcW w:w="1051" w:type="dxa"/>
            <w:tcBorders>
              <w:top w:val="single" w:sz="4" w:space="0" w:color="auto"/>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0.003661</w:t>
            </w:r>
          </w:p>
        </w:tc>
        <w:tc>
          <w:tcPr>
            <w:tcW w:w="1051" w:type="dxa"/>
            <w:tcBorders>
              <w:top w:val="single" w:sz="4" w:space="0" w:color="auto"/>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0.580538</w:t>
            </w:r>
          </w:p>
        </w:tc>
      </w:tr>
      <w:tr w:rsidR="001F42BE" w:rsidRPr="001F42BE" w:rsidTr="00FF7247">
        <w:trPr>
          <w:trHeight w:val="144"/>
        </w:trPr>
        <w:tc>
          <w:tcPr>
            <w:tcW w:w="61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5</w:t>
            </w:r>
          </w:p>
        </w:tc>
        <w:tc>
          <w:tcPr>
            <w:tcW w:w="97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1.519</w:t>
            </w:r>
          </w:p>
        </w:tc>
        <w:tc>
          <w:tcPr>
            <w:tcW w:w="97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278.15</w:t>
            </w:r>
          </w:p>
        </w:tc>
        <w:tc>
          <w:tcPr>
            <w:tcW w:w="1051"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0.003595</w:t>
            </w:r>
          </w:p>
        </w:tc>
        <w:tc>
          <w:tcPr>
            <w:tcW w:w="1051"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0.418052</w:t>
            </w:r>
          </w:p>
        </w:tc>
      </w:tr>
      <w:tr w:rsidR="001F42BE" w:rsidRPr="001F42BE" w:rsidTr="00FF7247">
        <w:trPr>
          <w:trHeight w:val="144"/>
        </w:trPr>
        <w:tc>
          <w:tcPr>
            <w:tcW w:w="61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10</w:t>
            </w:r>
          </w:p>
        </w:tc>
        <w:tc>
          <w:tcPr>
            <w:tcW w:w="97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1.307</w:t>
            </w:r>
          </w:p>
        </w:tc>
        <w:tc>
          <w:tcPr>
            <w:tcW w:w="97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283.15</w:t>
            </w:r>
          </w:p>
        </w:tc>
        <w:tc>
          <w:tcPr>
            <w:tcW w:w="1051"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0.003532</w:t>
            </w:r>
          </w:p>
        </w:tc>
        <w:tc>
          <w:tcPr>
            <w:tcW w:w="1051"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0.267734</w:t>
            </w:r>
          </w:p>
        </w:tc>
      </w:tr>
      <w:tr w:rsidR="001F42BE" w:rsidRPr="001F42BE" w:rsidTr="00FF7247">
        <w:trPr>
          <w:trHeight w:val="144"/>
        </w:trPr>
        <w:tc>
          <w:tcPr>
            <w:tcW w:w="61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20</w:t>
            </w:r>
          </w:p>
        </w:tc>
        <w:tc>
          <w:tcPr>
            <w:tcW w:w="97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1.002</w:t>
            </w:r>
          </w:p>
        </w:tc>
        <w:tc>
          <w:tcPr>
            <w:tcW w:w="976"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293.15</w:t>
            </w:r>
          </w:p>
        </w:tc>
        <w:tc>
          <w:tcPr>
            <w:tcW w:w="1051"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0.003411</w:t>
            </w:r>
          </w:p>
        </w:tc>
        <w:tc>
          <w:tcPr>
            <w:tcW w:w="1051" w:type="dxa"/>
            <w:tcBorders>
              <w:top w:val="nil"/>
              <w:left w:val="nil"/>
              <w:bottom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0.001998</w:t>
            </w:r>
          </w:p>
        </w:tc>
      </w:tr>
      <w:tr w:rsidR="001F42BE" w:rsidRPr="001F42BE" w:rsidTr="00FF7247">
        <w:trPr>
          <w:trHeight w:val="144"/>
        </w:trPr>
        <w:tc>
          <w:tcPr>
            <w:tcW w:w="616" w:type="dxa"/>
            <w:tcBorders>
              <w:top w:val="nil"/>
              <w:left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30</w:t>
            </w:r>
          </w:p>
        </w:tc>
        <w:tc>
          <w:tcPr>
            <w:tcW w:w="976" w:type="dxa"/>
            <w:tcBorders>
              <w:top w:val="nil"/>
              <w:left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0.7975</w:t>
            </w:r>
          </w:p>
        </w:tc>
        <w:tc>
          <w:tcPr>
            <w:tcW w:w="976" w:type="dxa"/>
            <w:tcBorders>
              <w:top w:val="nil"/>
              <w:left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303.15</w:t>
            </w:r>
          </w:p>
        </w:tc>
        <w:tc>
          <w:tcPr>
            <w:tcW w:w="1051" w:type="dxa"/>
            <w:tcBorders>
              <w:top w:val="nil"/>
              <w:left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0.003299</w:t>
            </w:r>
          </w:p>
        </w:tc>
        <w:tc>
          <w:tcPr>
            <w:tcW w:w="1051" w:type="dxa"/>
            <w:tcBorders>
              <w:top w:val="nil"/>
              <w:left w:val="nil"/>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Courier New" w:eastAsia="Times New Roman" w:hAnsi="Courier New" w:cs="STIX MathJax Main"/>
                <w:sz w:val="18"/>
                <w:szCs w:val="20"/>
              </w:rPr>
              <w:t>–</w:t>
            </w:r>
            <w:r w:rsidRPr="001F42BE">
              <w:rPr>
                <w:rFonts w:ascii="STIX" w:eastAsia="Times New Roman" w:hAnsi="STIX" w:cs="STIX MathJax Main"/>
                <w:sz w:val="18"/>
                <w:szCs w:val="20"/>
              </w:rPr>
              <w:t>0.22627</w:t>
            </w:r>
          </w:p>
        </w:tc>
      </w:tr>
      <w:tr w:rsidR="001F42BE" w:rsidRPr="001F42BE" w:rsidTr="00FF7247">
        <w:trPr>
          <w:trHeight w:val="144"/>
        </w:trPr>
        <w:tc>
          <w:tcPr>
            <w:tcW w:w="616" w:type="dxa"/>
            <w:tcBorders>
              <w:top w:val="nil"/>
              <w:left w:val="nil"/>
              <w:bottom w:val="single" w:sz="12" w:space="0" w:color="auto"/>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40</w:t>
            </w:r>
          </w:p>
        </w:tc>
        <w:tc>
          <w:tcPr>
            <w:tcW w:w="976" w:type="dxa"/>
            <w:tcBorders>
              <w:top w:val="nil"/>
              <w:left w:val="nil"/>
              <w:bottom w:val="single" w:sz="12" w:space="0" w:color="auto"/>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0.6529</w:t>
            </w:r>
          </w:p>
        </w:tc>
        <w:tc>
          <w:tcPr>
            <w:tcW w:w="976" w:type="dxa"/>
            <w:tcBorders>
              <w:top w:val="nil"/>
              <w:left w:val="nil"/>
              <w:bottom w:val="single" w:sz="12" w:space="0" w:color="auto"/>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313.15</w:t>
            </w:r>
          </w:p>
        </w:tc>
        <w:tc>
          <w:tcPr>
            <w:tcW w:w="1051" w:type="dxa"/>
            <w:tcBorders>
              <w:top w:val="nil"/>
              <w:left w:val="nil"/>
              <w:bottom w:val="single" w:sz="12" w:space="0" w:color="auto"/>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STIX" w:eastAsia="Times New Roman" w:hAnsi="STIX" w:cs="STIX MathJax Main"/>
                <w:sz w:val="18"/>
                <w:szCs w:val="20"/>
              </w:rPr>
              <w:t>0.003193</w:t>
            </w:r>
          </w:p>
        </w:tc>
        <w:tc>
          <w:tcPr>
            <w:tcW w:w="1051" w:type="dxa"/>
            <w:tcBorders>
              <w:top w:val="nil"/>
              <w:left w:val="nil"/>
              <w:bottom w:val="single" w:sz="12" w:space="0" w:color="auto"/>
              <w:right w:val="nil"/>
            </w:tcBorders>
            <w:shd w:val="clear" w:color="auto" w:fill="auto"/>
            <w:noWrap/>
            <w:vAlign w:val="center"/>
          </w:tcPr>
          <w:p w:rsidR="001F42BE" w:rsidRPr="001F42BE" w:rsidRDefault="001F42BE" w:rsidP="001F42BE">
            <w:pPr>
              <w:spacing w:after="0" w:line="240" w:lineRule="auto"/>
              <w:jc w:val="right"/>
              <w:rPr>
                <w:rFonts w:ascii="STIX MathJax Main" w:eastAsia="Times New Roman" w:hAnsi="STIX MathJax Main" w:cs="STIX MathJax Main"/>
                <w:sz w:val="18"/>
                <w:szCs w:val="20"/>
              </w:rPr>
            </w:pPr>
            <w:r w:rsidRPr="001F42BE">
              <w:rPr>
                <w:rFonts w:ascii="Courier New" w:eastAsia="Times New Roman" w:hAnsi="Courier New" w:cs="STIX MathJax Main"/>
                <w:sz w:val="18"/>
                <w:szCs w:val="20"/>
              </w:rPr>
              <w:t>–</w:t>
            </w:r>
            <w:r w:rsidRPr="001F42BE">
              <w:rPr>
                <w:rFonts w:ascii="STIX" w:eastAsia="Times New Roman" w:hAnsi="STIX" w:cs="STIX MathJax Main"/>
                <w:sz w:val="18"/>
                <w:szCs w:val="20"/>
              </w:rPr>
              <w:t>0.42633</w:t>
            </w:r>
          </w:p>
        </w:tc>
      </w:tr>
    </w:tbl>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t>Here is the fit:</w:t>
      </w:r>
    </w:p>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drawing>
          <wp:inline distT="0" distB="0" distL="0" distR="0">
            <wp:extent cx="2971800" cy="1152525"/>
            <wp:effectExtent l="19050" t="0" r="0" b="0"/>
            <wp:docPr id="33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srcRect/>
                    <a:stretch>
                      <a:fillRect/>
                    </a:stretch>
                  </pic:blipFill>
                  <pic:spPr bwMode="auto">
                    <a:xfrm>
                      <a:off x="0" y="0"/>
                      <a:ext cx="2971800" cy="1152525"/>
                    </a:xfrm>
                    <a:prstGeom prst="rect">
                      <a:avLst/>
                    </a:prstGeom>
                    <a:noFill/>
                    <a:ln w="9525">
                      <a:noFill/>
                      <a:miter lim="800000"/>
                      <a:headEnd/>
                      <a:tailEnd/>
                    </a:ln>
                  </pic:spPr>
                </pic:pic>
              </a:graphicData>
            </a:graphic>
          </wp:inline>
        </w:drawing>
      </w:r>
    </w:p>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t>Thus, the parameters are estimated as</w:t>
      </w:r>
      <w:r w:rsidRPr="001F42BE">
        <w:rPr>
          <w:rFonts w:ascii="STIX" w:eastAsia="Times New Roman" w:hAnsi="STIX"/>
          <w:position w:val="-6"/>
          <w:sz w:val="20"/>
          <w:szCs w:val="24"/>
        </w:rPr>
        <w:object w:dxaOrig="2659" w:dyaOrig="340">
          <v:shape id="_x0000_i13888" type="#_x0000_t75" style="width:132.75pt;height:17.25pt" o:ole="">
            <v:imagedata r:id="rId11" o:title=""/>
          </v:shape>
          <o:OLEObject Type="Embed" ProgID="Equation.DSMT4" ShapeID="_x0000_i13888" DrawAspect="Content" ObjectID="_1552404280" r:id="rId12"/>
        </w:object>
      </w:r>
      <w:r w:rsidRPr="001F42BE">
        <w:rPr>
          <w:rFonts w:ascii="STIX" w:eastAsia="Times New Roman" w:hAnsi="STIX"/>
          <w:sz w:val="20"/>
          <w:szCs w:val="24"/>
        </w:rPr>
        <w:t xml:space="preserve">and </w:t>
      </w:r>
      <w:r w:rsidRPr="001F42BE">
        <w:rPr>
          <w:rFonts w:ascii="STIX" w:eastAsia="Times New Roman" w:hAnsi="STIX"/>
          <w:i/>
          <w:sz w:val="20"/>
          <w:szCs w:val="24"/>
        </w:rPr>
        <w:t>B</w:t>
      </w:r>
      <w:r w:rsidRPr="001F42BE">
        <w:rPr>
          <w:rFonts w:ascii="STIX" w:eastAsia="Times New Roman" w:hAnsi="STIX"/>
          <w:sz w:val="20"/>
          <w:szCs w:val="24"/>
        </w:rPr>
        <w:t xml:space="preserve"> </w:t>
      </w:r>
      <w:r w:rsidRPr="001F42BE">
        <w:rPr>
          <w:rFonts w:ascii="Courier New" w:eastAsia="Times New Roman" w:hAnsi="Courier New"/>
          <w:sz w:val="20"/>
          <w:szCs w:val="24"/>
        </w:rPr>
        <w:t>=</w:t>
      </w:r>
      <w:r w:rsidRPr="001F42BE">
        <w:rPr>
          <w:rFonts w:ascii="STIX" w:eastAsia="Times New Roman" w:hAnsi="STIX"/>
          <w:sz w:val="20"/>
          <w:szCs w:val="24"/>
        </w:rPr>
        <w:t xml:space="preserve"> 2150.8, and the Andrade equation is</w:t>
      </w:r>
    </w:p>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Courier New" w:eastAsia="Times New Roman" w:hAnsi="Courier New"/>
          <w:i/>
          <w:sz w:val="20"/>
          <w:szCs w:val="24"/>
        </w:rPr>
        <w:sym w:font="Symbol" w:char="F06D"/>
      </w:r>
      <w:r w:rsidRPr="001F42BE">
        <w:rPr>
          <w:rFonts w:ascii="STIX" w:eastAsia="Times New Roman" w:hAnsi="STIX"/>
          <w:sz w:val="20"/>
          <w:szCs w:val="24"/>
        </w:rPr>
        <w:t xml:space="preserve"> </w:t>
      </w:r>
      <w:r w:rsidRPr="001F42BE">
        <w:rPr>
          <w:rFonts w:ascii="Courier New" w:eastAsia="Times New Roman" w:hAnsi="Courier New"/>
          <w:sz w:val="20"/>
          <w:szCs w:val="24"/>
        </w:rPr>
        <w:t>=</w:t>
      </w:r>
      <w:r w:rsidRPr="001F42BE">
        <w:rPr>
          <w:rFonts w:ascii="STIX" w:eastAsia="Times New Roman" w:hAnsi="STIX"/>
          <w:sz w:val="20"/>
          <w:szCs w:val="24"/>
        </w:rPr>
        <w:t xml:space="preserve"> 6.65941</w:t>
      </w:r>
      <w:r w:rsidRPr="001F42BE">
        <w:rPr>
          <w:rFonts w:ascii="Courier New" w:eastAsia="Times New Roman" w:hAnsi="Courier New"/>
          <w:sz w:val="20"/>
          <w:szCs w:val="24"/>
        </w:rPr>
        <w:sym w:font="Symbol" w:char="F0B4"/>
      </w:r>
      <w:r w:rsidRPr="001F42BE">
        <w:rPr>
          <w:rFonts w:ascii="Courier New" w:eastAsia="Times New Roman" w:hAnsi="Courier New"/>
          <w:sz w:val="20"/>
          <w:szCs w:val="24"/>
        </w:rPr>
        <w:t>10</w:t>
      </w:r>
      <w:r w:rsidRPr="001F42BE">
        <w:rPr>
          <w:rFonts w:ascii="Courier New" w:eastAsia="Times New Roman" w:hAnsi="Courier New"/>
          <w:sz w:val="20"/>
          <w:szCs w:val="24"/>
          <w:vertAlign w:val="superscript"/>
        </w:rPr>
        <w:t>–4</w:t>
      </w:r>
      <w:r w:rsidRPr="001F42BE">
        <w:rPr>
          <w:rFonts w:ascii="STIX" w:eastAsia="Times New Roman" w:hAnsi="STIX"/>
          <w:sz w:val="20"/>
          <w:szCs w:val="24"/>
        </w:rPr>
        <w:t xml:space="preserve"> </w:t>
      </w:r>
      <w:r w:rsidRPr="001F42BE">
        <w:rPr>
          <w:rFonts w:ascii="STIX" w:eastAsia="Times New Roman" w:hAnsi="STIX"/>
          <w:i/>
          <w:sz w:val="20"/>
          <w:szCs w:val="24"/>
        </w:rPr>
        <w:t>e</w:t>
      </w:r>
      <w:r w:rsidRPr="001F42BE">
        <w:rPr>
          <w:rFonts w:ascii="STIX" w:eastAsia="Times New Roman" w:hAnsi="STIX"/>
          <w:sz w:val="20"/>
          <w:szCs w:val="24"/>
          <w:vertAlign w:val="superscript"/>
        </w:rPr>
        <w:t>2150.8</w:t>
      </w:r>
      <w:r w:rsidRPr="001F42BE">
        <w:rPr>
          <w:rFonts w:ascii="Courier New" w:eastAsia="Times New Roman" w:hAnsi="Courier New"/>
          <w:sz w:val="20"/>
          <w:szCs w:val="24"/>
          <w:vertAlign w:val="superscript"/>
        </w:rPr>
        <w:t>/</w:t>
      </w:r>
      <w:r w:rsidRPr="001F42BE">
        <w:rPr>
          <w:rFonts w:ascii="STIX" w:eastAsia="Times New Roman" w:hAnsi="STIX"/>
          <w:i/>
          <w:sz w:val="20"/>
          <w:szCs w:val="24"/>
          <w:vertAlign w:val="superscript"/>
        </w:rPr>
        <w:t>Ta</w:t>
      </w:r>
    </w:p>
    <w:p w:rsidR="001F42BE" w:rsidRPr="001F42BE" w:rsidRDefault="001F42BE" w:rsidP="001F42BE">
      <w:pPr>
        <w:spacing w:after="0" w:line="240" w:lineRule="auto"/>
        <w:rPr>
          <w:rFonts w:ascii="STIX" w:eastAsia="Times New Roman" w:hAnsi="STIX"/>
          <w:sz w:val="20"/>
          <w:szCs w:val="24"/>
        </w:rPr>
      </w:pP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t>This equation can be plotted along with the data</w:t>
      </w:r>
    </w:p>
    <w:p w:rsidR="001F42BE" w:rsidRPr="001F42BE" w:rsidRDefault="001F42BE" w:rsidP="001F42BE">
      <w:pPr>
        <w:spacing w:after="0" w:line="240" w:lineRule="auto"/>
        <w:rPr>
          <w:rFonts w:ascii="STIX" w:eastAsia="Times New Roman" w:hAnsi="STIX"/>
          <w:sz w:val="20"/>
          <w:szCs w:val="24"/>
        </w:rPr>
      </w:pPr>
      <w:r w:rsidRPr="001F42BE">
        <w:rPr>
          <w:rFonts w:ascii="STIX" w:eastAsia="Times New Roman" w:hAnsi="STIX"/>
          <w:sz w:val="20"/>
          <w:szCs w:val="24"/>
        </w:rPr>
        <w:drawing>
          <wp:inline distT="0" distB="0" distL="0" distR="0">
            <wp:extent cx="2876550" cy="1104900"/>
            <wp:effectExtent l="19050" t="0" r="0" b="0"/>
            <wp:docPr id="331"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srcRect/>
                    <a:stretch>
                      <a:fillRect/>
                    </a:stretch>
                  </pic:blipFill>
                  <pic:spPr bwMode="auto">
                    <a:xfrm>
                      <a:off x="0" y="0"/>
                      <a:ext cx="2876550" cy="1104900"/>
                    </a:xfrm>
                    <a:prstGeom prst="rect">
                      <a:avLst/>
                    </a:prstGeom>
                    <a:noFill/>
                    <a:ln w="9525">
                      <a:noFill/>
                      <a:miter lim="800000"/>
                      <a:headEnd/>
                      <a:tailEnd/>
                    </a:ln>
                  </pic:spPr>
                </pic:pic>
              </a:graphicData>
            </a:graphic>
          </wp:inline>
        </w:drawing>
      </w:r>
    </w:p>
    <w:p w:rsidR="00CA4B33" w:rsidRPr="00CA4B33" w:rsidRDefault="00CA4B33" w:rsidP="001F42BE">
      <w:pPr>
        <w:spacing w:after="0" w:line="240" w:lineRule="auto"/>
        <w:rPr>
          <w:rFonts w:ascii="STIX" w:eastAsia="Times New Roman" w:hAnsi="STIX"/>
          <w:sz w:val="20"/>
          <w:szCs w:val="24"/>
        </w:rPr>
      </w:pP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6A1DB-E81E-4D4A-8C1C-870625A0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589</Characters>
  <Application>Microsoft Office Word</Application>
  <DocSecurity>0</DocSecurity>
  <Lines>4</Lines>
  <Paragraphs>1</Paragraphs>
  <ScaleCrop>false</ScaleCrop>
  <Company/>
  <LinksUpToDate>false</LinksUpToDate>
  <CharactersWithSpaces>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2017-03-30T21:26:00Z</dcterms:created>
  <dcterms:modified xsi:type="dcterms:W3CDTF">2017-03-30T21:26:00Z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