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8402E" w:rsidRDefault="00512B6C" w:rsidP="0008402E">
      <w:pPr>
        <w:pStyle w:val="Default"/>
        <w:rPr>
          <w:b/>
        </w:rPr>
      </w:pPr>
      <w:r w:rsidRPr="0008402E">
        <w:rPr>
          <w:b/>
        </w:rPr>
        <w:t xml:space="preserve">Problem </w:t>
      </w:r>
      <w:r w:rsidR="001D3DC1" w:rsidRPr="0008402E">
        <w:rPr>
          <w:b/>
        </w:rPr>
        <w:t>15</w:t>
      </w:r>
      <w:r w:rsidR="0008402E" w:rsidRPr="0008402E">
        <w:rPr>
          <w:b/>
        </w:rPr>
        <w:t>.17</w:t>
      </w:r>
    </w:p>
    <w:p w:rsidR="0008402E" w:rsidRPr="0008402E" w:rsidRDefault="0008402E" w:rsidP="0008402E">
      <w:pPr>
        <w:autoSpaceDE w:val="0"/>
        <w:autoSpaceDN w:val="0"/>
        <w:adjustRightInd w:val="0"/>
        <w:spacing w:after="0" w:line="240" w:lineRule="auto"/>
        <w:rPr>
          <w:rFonts w:ascii="STIX" w:hAnsi="STIX" w:cs="STIX"/>
          <w:color w:val="000000"/>
          <w:sz w:val="24"/>
          <w:szCs w:val="24"/>
        </w:rPr>
      </w:pPr>
    </w:p>
    <w:p w:rsidR="009453E6" w:rsidRDefault="0008402E" w:rsidP="0008402E">
      <w:pPr>
        <w:pStyle w:val="Default"/>
        <w:rPr>
          <w:color w:val="211D1E"/>
          <w:szCs w:val="18"/>
        </w:rPr>
      </w:pPr>
      <w:r w:rsidRPr="0008402E">
        <w:rPr>
          <w:color w:val="211D1E"/>
          <w:szCs w:val="18"/>
        </w:rPr>
        <w:t xml:space="preserve">Dynamic viscosity of water </w:t>
      </w:r>
      <w:r w:rsidRPr="0008402E">
        <w:rPr>
          <w:i/>
          <w:iCs/>
          <w:color w:val="211D1E"/>
          <w:szCs w:val="18"/>
        </w:rPr>
        <w:t>μ</w:t>
      </w:r>
      <w:r w:rsidRPr="0008402E">
        <w:rPr>
          <w:color w:val="211D1E"/>
          <w:szCs w:val="18"/>
        </w:rPr>
        <w:t>(10</w:t>
      </w:r>
      <w:r w:rsidRPr="0008402E">
        <w:rPr>
          <w:color w:val="211D1E"/>
          <w:sz w:val="32"/>
          <w:vertAlign w:val="superscript"/>
        </w:rPr>
        <w:t>–3</w:t>
      </w:r>
      <w:r w:rsidRPr="0008402E">
        <w:rPr>
          <w:color w:val="211D1E"/>
        </w:rPr>
        <w:t xml:space="preserve"> </w:t>
      </w:r>
      <w:r w:rsidRPr="0008402E">
        <w:rPr>
          <w:color w:val="211D1E"/>
          <w:szCs w:val="18"/>
        </w:rPr>
        <w:t>N · s/m</w:t>
      </w:r>
      <w:r w:rsidRPr="0008402E">
        <w:rPr>
          <w:color w:val="211D1E"/>
          <w:sz w:val="32"/>
          <w:vertAlign w:val="superscript"/>
        </w:rPr>
        <w:t>2</w:t>
      </w:r>
      <w:r w:rsidRPr="0008402E">
        <w:rPr>
          <w:color w:val="211D1E"/>
          <w:szCs w:val="18"/>
        </w:rPr>
        <w:t xml:space="preserve">) is related to temperature </w:t>
      </w:r>
      <w:r w:rsidRPr="0008402E">
        <w:rPr>
          <w:i/>
          <w:iCs/>
          <w:color w:val="211D1E"/>
          <w:szCs w:val="18"/>
        </w:rPr>
        <w:t>T</w:t>
      </w:r>
      <w:r w:rsidRPr="0008402E">
        <w:rPr>
          <w:color w:val="211D1E"/>
          <w:szCs w:val="18"/>
        </w:rPr>
        <w:t>(°C) in the following manner: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68"/>
        <w:gridCol w:w="1368"/>
        <w:gridCol w:w="1368"/>
        <w:gridCol w:w="1368"/>
        <w:gridCol w:w="1368"/>
        <w:gridCol w:w="1368"/>
        <w:gridCol w:w="1368"/>
      </w:tblGrid>
      <w:tr w:rsidR="0008402E" w:rsidRPr="0008402E" w:rsidTr="0008402E">
        <w:tc>
          <w:tcPr>
            <w:tcW w:w="1368" w:type="dxa"/>
          </w:tcPr>
          <w:p w:rsidR="0008402E" w:rsidRPr="0008402E" w:rsidRDefault="0008402E" w:rsidP="00CA6A64">
            <w:pPr>
              <w:autoSpaceDE w:val="0"/>
              <w:autoSpaceDN w:val="0"/>
              <w:adjustRightInd w:val="0"/>
              <w:spacing w:before="380" w:after="0" w:line="160" w:lineRule="atLeast"/>
              <w:rPr>
                <w:rFonts w:ascii="STIX" w:hAnsi="STIX" w:cs="STIX"/>
                <w:b/>
                <w:bCs/>
                <w:i/>
                <w:iCs/>
                <w:color w:val="211D1E"/>
                <w:sz w:val="24"/>
                <w:szCs w:val="24"/>
              </w:rPr>
            </w:pPr>
            <w:r w:rsidRPr="0008402E">
              <w:rPr>
                <w:rFonts w:ascii="STIX" w:hAnsi="STIX" w:cs="STIX"/>
                <w:b/>
                <w:bCs/>
                <w:i/>
                <w:iCs/>
                <w:color w:val="211D1E"/>
                <w:sz w:val="24"/>
                <w:szCs w:val="24"/>
              </w:rPr>
              <w:t>T</w:t>
            </w:r>
          </w:p>
        </w:tc>
        <w:tc>
          <w:tcPr>
            <w:tcW w:w="1368" w:type="dxa"/>
          </w:tcPr>
          <w:p w:rsidR="0008402E" w:rsidRPr="0008402E" w:rsidRDefault="0008402E" w:rsidP="00CA6A64">
            <w:pPr>
              <w:autoSpaceDE w:val="0"/>
              <w:autoSpaceDN w:val="0"/>
              <w:adjustRightInd w:val="0"/>
              <w:spacing w:before="380" w:after="0" w:line="160" w:lineRule="atLeast"/>
              <w:rPr>
                <w:rFonts w:ascii="STIX" w:hAnsi="STIX" w:cs="STIX"/>
                <w:color w:val="211D1E"/>
                <w:sz w:val="24"/>
                <w:szCs w:val="24"/>
              </w:rPr>
            </w:pPr>
            <w:r w:rsidRPr="0008402E">
              <w:rPr>
                <w:rFonts w:ascii="STIX" w:hAnsi="STIX" w:cs="STIX"/>
                <w:color w:val="211D1E"/>
                <w:sz w:val="24"/>
                <w:szCs w:val="24"/>
              </w:rPr>
              <w:t>0</w:t>
            </w:r>
          </w:p>
        </w:tc>
        <w:tc>
          <w:tcPr>
            <w:tcW w:w="1368" w:type="dxa"/>
          </w:tcPr>
          <w:p w:rsidR="0008402E" w:rsidRPr="0008402E" w:rsidRDefault="0008402E" w:rsidP="00CA6A64">
            <w:pPr>
              <w:autoSpaceDE w:val="0"/>
              <w:autoSpaceDN w:val="0"/>
              <w:adjustRightInd w:val="0"/>
              <w:spacing w:before="380" w:after="0" w:line="160" w:lineRule="atLeast"/>
              <w:rPr>
                <w:rFonts w:ascii="STIX" w:hAnsi="STIX" w:cs="STIX"/>
                <w:color w:val="211D1E"/>
                <w:sz w:val="24"/>
                <w:szCs w:val="24"/>
              </w:rPr>
            </w:pPr>
            <w:r w:rsidRPr="0008402E">
              <w:rPr>
                <w:rFonts w:ascii="STIX" w:hAnsi="STIX" w:cs="STIX"/>
                <w:color w:val="211D1E"/>
                <w:sz w:val="24"/>
                <w:szCs w:val="24"/>
              </w:rPr>
              <w:t>5</w:t>
            </w:r>
          </w:p>
        </w:tc>
        <w:tc>
          <w:tcPr>
            <w:tcW w:w="1368" w:type="dxa"/>
          </w:tcPr>
          <w:p w:rsidR="0008402E" w:rsidRPr="0008402E" w:rsidRDefault="0008402E" w:rsidP="00CA6A64">
            <w:pPr>
              <w:autoSpaceDE w:val="0"/>
              <w:autoSpaceDN w:val="0"/>
              <w:adjustRightInd w:val="0"/>
              <w:spacing w:before="380" w:after="0" w:line="160" w:lineRule="atLeast"/>
              <w:rPr>
                <w:rFonts w:ascii="STIX" w:hAnsi="STIX" w:cs="STIX"/>
                <w:color w:val="211D1E"/>
                <w:sz w:val="24"/>
                <w:szCs w:val="24"/>
              </w:rPr>
            </w:pPr>
            <w:r w:rsidRPr="0008402E">
              <w:rPr>
                <w:rFonts w:ascii="STIX" w:hAnsi="STIX" w:cs="STIX"/>
                <w:color w:val="211D1E"/>
                <w:sz w:val="24"/>
                <w:szCs w:val="24"/>
              </w:rPr>
              <w:t>10</w:t>
            </w:r>
          </w:p>
        </w:tc>
        <w:tc>
          <w:tcPr>
            <w:tcW w:w="1368" w:type="dxa"/>
          </w:tcPr>
          <w:p w:rsidR="0008402E" w:rsidRPr="0008402E" w:rsidRDefault="0008402E" w:rsidP="00CA6A64">
            <w:pPr>
              <w:autoSpaceDE w:val="0"/>
              <w:autoSpaceDN w:val="0"/>
              <w:adjustRightInd w:val="0"/>
              <w:spacing w:before="380" w:after="0" w:line="160" w:lineRule="atLeast"/>
              <w:rPr>
                <w:rFonts w:ascii="STIX" w:hAnsi="STIX" w:cs="STIX"/>
                <w:color w:val="211D1E"/>
                <w:sz w:val="24"/>
                <w:szCs w:val="24"/>
              </w:rPr>
            </w:pPr>
            <w:r w:rsidRPr="0008402E">
              <w:rPr>
                <w:rFonts w:ascii="STIX" w:hAnsi="STIX" w:cs="STIX"/>
                <w:color w:val="211D1E"/>
                <w:sz w:val="24"/>
                <w:szCs w:val="24"/>
              </w:rPr>
              <w:t>20</w:t>
            </w:r>
          </w:p>
        </w:tc>
        <w:tc>
          <w:tcPr>
            <w:tcW w:w="1368" w:type="dxa"/>
          </w:tcPr>
          <w:p w:rsidR="0008402E" w:rsidRPr="0008402E" w:rsidRDefault="0008402E" w:rsidP="00CA6A64">
            <w:pPr>
              <w:autoSpaceDE w:val="0"/>
              <w:autoSpaceDN w:val="0"/>
              <w:adjustRightInd w:val="0"/>
              <w:spacing w:before="380" w:after="0" w:line="160" w:lineRule="atLeast"/>
              <w:rPr>
                <w:rFonts w:ascii="STIX" w:hAnsi="STIX" w:cs="STIX"/>
                <w:color w:val="211D1E"/>
                <w:sz w:val="24"/>
                <w:szCs w:val="24"/>
              </w:rPr>
            </w:pPr>
            <w:r w:rsidRPr="0008402E">
              <w:rPr>
                <w:rFonts w:ascii="STIX" w:hAnsi="STIX" w:cs="STIX"/>
                <w:color w:val="211D1E"/>
                <w:sz w:val="24"/>
                <w:szCs w:val="24"/>
              </w:rPr>
              <w:t>30</w:t>
            </w:r>
          </w:p>
        </w:tc>
        <w:tc>
          <w:tcPr>
            <w:tcW w:w="1368" w:type="dxa"/>
          </w:tcPr>
          <w:p w:rsidR="0008402E" w:rsidRPr="0008402E" w:rsidRDefault="0008402E" w:rsidP="00CA6A64">
            <w:pPr>
              <w:autoSpaceDE w:val="0"/>
              <w:autoSpaceDN w:val="0"/>
              <w:adjustRightInd w:val="0"/>
              <w:spacing w:before="380" w:after="0" w:line="160" w:lineRule="atLeast"/>
              <w:rPr>
                <w:rFonts w:ascii="STIX" w:hAnsi="STIX" w:cs="STIX"/>
                <w:color w:val="211D1E"/>
                <w:sz w:val="24"/>
                <w:szCs w:val="24"/>
              </w:rPr>
            </w:pPr>
            <w:r w:rsidRPr="0008402E">
              <w:rPr>
                <w:rFonts w:ascii="STIX" w:hAnsi="STIX" w:cs="STIX"/>
                <w:color w:val="211D1E"/>
                <w:sz w:val="24"/>
                <w:szCs w:val="24"/>
              </w:rPr>
              <w:t>40</w:t>
            </w:r>
          </w:p>
        </w:tc>
      </w:tr>
      <w:tr w:rsidR="0008402E" w:rsidRPr="0008402E" w:rsidTr="0008402E">
        <w:tc>
          <w:tcPr>
            <w:tcW w:w="1368" w:type="dxa"/>
          </w:tcPr>
          <w:p w:rsidR="0008402E" w:rsidRPr="0008402E" w:rsidRDefault="0008402E" w:rsidP="00CA6A64">
            <w:pPr>
              <w:pStyle w:val="Default"/>
              <w:rPr>
                <w:b/>
                <w:bCs/>
                <w:i/>
                <w:iCs/>
                <w:color w:val="211D1E"/>
              </w:rPr>
            </w:pPr>
            <w:r w:rsidRPr="0008402E">
              <w:rPr>
                <w:b/>
                <w:bCs/>
                <w:i/>
                <w:iCs/>
                <w:color w:val="211D1E"/>
              </w:rPr>
              <w:t>μ</w:t>
            </w:r>
          </w:p>
        </w:tc>
        <w:tc>
          <w:tcPr>
            <w:tcW w:w="1368" w:type="dxa"/>
          </w:tcPr>
          <w:p w:rsidR="0008402E" w:rsidRPr="0008402E" w:rsidRDefault="0008402E" w:rsidP="00CA6A64">
            <w:pPr>
              <w:pStyle w:val="Default"/>
              <w:rPr>
                <w:color w:val="211D1E"/>
              </w:rPr>
            </w:pPr>
            <w:r w:rsidRPr="0008402E">
              <w:rPr>
                <w:color w:val="211D1E"/>
              </w:rPr>
              <w:t>1.787</w:t>
            </w:r>
          </w:p>
        </w:tc>
        <w:tc>
          <w:tcPr>
            <w:tcW w:w="1368" w:type="dxa"/>
          </w:tcPr>
          <w:p w:rsidR="0008402E" w:rsidRPr="0008402E" w:rsidRDefault="0008402E" w:rsidP="00CA6A64">
            <w:pPr>
              <w:pStyle w:val="Default"/>
              <w:rPr>
                <w:color w:val="211D1E"/>
              </w:rPr>
            </w:pPr>
            <w:r w:rsidRPr="0008402E">
              <w:rPr>
                <w:color w:val="211D1E"/>
              </w:rPr>
              <w:t>1.519</w:t>
            </w:r>
          </w:p>
        </w:tc>
        <w:tc>
          <w:tcPr>
            <w:tcW w:w="1368" w:type="dxa"/>
          </w:tcPr>
          <w:p w:rsidR="0008402E" w:rsidRPr="0008402E" w:rsidRDefault="0008402E" w:rsidP="00CA6A64">
            <w:pPr>
              <w:pStyle w:val="Default"/>
              <w:rPr>
                <w:color w:val="211D1E"/>
              </w:rPr>
            </w:pPr>
            <w:r w:rsidRPr="0008402E">
              <w:rPr>
                <w:color w:val="211D1E"/>
              </w:rPr>
              <w:t>1.307</w:t>
            </w:r>
          </w:p>
        </w:tc>
        <w:tc>
          <w:tcPr>
            <w:tcW w:w="1368" w:type="dxa"/>
          </w:tcPr>
          <w:p w:rsidR="0008402E" w:rsidRPr="0008402E" w:rsidRDefault="0008402E" w:rsidP="00CA6A64">
            <w:pPr>
              <w:pStyle w:val="Default"/>
              <w:rPr>
                <w:color w:val="211D1E"/>
              </w:rPr>
            </w:pPr>
            <w:r w:rsidRPr="0008402E">
              <w:rPr>
                <w:color w:val="211D1E"/>
              </w:rPr>
              <w:t>1.002</w:t>
            </w:r>
          </w:p>
        </w:tc>
        <w:tc>
          <w:tcPr>
            <w:tcW w:w="1368" w:type="dxa"/>
          </w:tcPr>
          <w:p w:rsidR="0008402E" w:rsidRPr="0008402E" w:rsidRDefault="0008402E" w:rsidP="00CA6A64">
            <w:pPr>
              <w:pStyle w:val="Default"/>
              <w:rPr>
                <w:color w:val="211D1E"/>
              </w:rPr>
            </w:pPr>
            <w:r w:rsidRPr="0008402E">
              <w:rPr>
                <w:color w:val="211D1E"/>
              </w:rPr>
              <w:t>0.7975</w:t>
            </w:r>
          </w:p>
        </w:tc>
        <w:tc>
          <w:tcPr>
            <w:tcW w:w="1368" w:type="dxa"/>
          </w:tcPr>
          <w:p w:rsidR="0008402E" w:rsidRPr="0008402E" w:rsidRDefault="0008402E" w:rsidP="00CA6A64">
            <w:pPr>
              <w:pStyle w:val="Default"/>
            </w:pPr>
            <w:r w:rsidRPr="0008402E">
              <w:rPr>
                <w:color w:val="211D1E"/>
              </w:rPr>
              <w:t>0.6529</w:t>
            </w:r>
          </w:p>
        </w:tc>
      </w:tr>
    </w:tbl>
    <w:p w:rsidR="0008402E" w:rsidRPr="0008402E" w:rsidRDefault="0008402E" w:rsidP="0008402E">
      <w:pPr>
        <w:pStyle w:val="Default"/>
      </w:pPr>
    </w:p>
    <w:p w:rsidR="0008402E" w:rsidRPr="0008402E" w:rsidRDefault="0008402E" w:rsidP="0008402E">
      <w:pPr>
        <w:pStyle w:val="Default"/>
        <w:rPr>
          <w:color w:val="211D1E"/>
        </w:rPr>
      </w:pPr>
      <w:r w:rsidRPr="0008402E">
        <w:rPr>
          <w:rStyle w:val="A150"/>
          <w:sz w:val="24"/>
          <w:szCs w:val="24"/>
        </w:rPr>
        <w:t xml:space="preserve">(a) </w:t>
      </w:r>
      <w:r w:rsidRPr="0008402E">
        <w:rPr>
          <w:color w:val="211D1E"/>
        </w:rPr>
        <w:t>Plot this data.</w:t>
      </w:r>
    </w:p>
    <w:p w:rsidR="0008402E" w:rsidRPr="0008402E" w:rsidRDefault="0008402E" w:rsidP="0008402E">
      <w:pPr>
        <w:pStyle w:val="Default"/>
        <w:rPr>
          <w:color w:val="211D1E"/>
        </w:rPr>
      </w:pPr>
      <w:r w:rsidRPr="0008402E">
        <w:rPr>
          <w:rStyle w:val="A150"/>
          <w:sz w:val="24"/>
          <w:szCs w:val="24"/>
        </w:rPr>
        <w:t xml:space="preserve">(b) </w:t>
      </w:r>
      <w:r w:rsidRPr="0008402E">
        <w:rPr>
          <w:color w:val="211D1E"/>
        </w:rPr>
        <w:t xml:space="preserve">Use linear interpolation to predict </w:t>
      </w:r>
      <w:r w:rsidRPr="0008402E">
        <w:rPr>
          <w:i/>
          <w:iCs/>
          <w:color w:val="211D1E"/>
        </w:rPr>
        <w:t xml:space="preserve">μ </w:t>
      </w:r>
      <w:r w:rsidRPr="0008402E">
        <w:rPr>
          <w:color w:val="211D1E"/>
        </w:rPr>
        <w:t xml:space="preserve">at </w:t>
      </w:r>
      <w:r w:rsidRPr="0008402E">
        <w:rPr>
          <w:i/>
          <w:iCs/>
          <w:color w:val="211D1E"/>
        </w:rPr>
        <w:t xml:space="preserve">T </w:t>
      </w:r>
      <w:r w:rsidRPr="0008402E">
        <w:rPr>
          <w:color w:val="211D1E"/>
        </w:rPr>
        <w:t>= 7.5 °C.</w:t>
      </w:r>
    </w:p>
    <w:p w:rsidR="0008402E" w:rsidRPr="0008402E" w:rsidRDefault="0008402E" w:rsidP="0008402E">
      <w:pPr>
        <w:pStyle w:val="Default"/>
        <w:rPr>
          <w:color w:val="211D1E"/>
        </w:rPr>
      </w:pPr>
      <w:r w:rsidRPr="0008402E">
        <w:rPr>
          <w:rStyle w:val="A150"/>
          <w:sz w:val="24"/>
          <w:szCs w:val="24"/>
        </w:rPr>
        <w:t xml:space="preserve">(c) </w:t>
      </w:r>
      <w:r w:rsidRPr="0008402E">
        <w:rPr>
          <w:color w:val="211D1E"/>
        </w:rPr>
        <w:t>Use polynomial regression to fit a parabola to the data in order to make the same prediction.</w:t>
      </w:r>
    </w:p>
    <w:p w:rsidR="0008402E" w:rsidRPr="0008402E" w:rsidRDefault="0008402E" w:rsidP="0008402E">
      <w:pPr>
        <w:pStyle w:val="Default"/>
      </w:pPr>
    </w:p>
    <w:sectPr w:rsidR="0008402E" w:rsidRPr="0008402E"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Words>
  <Characters>301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2017-03-19T16:00:00Z</dcterms:created>
  <dcterms:modified xsi:type="dcterms:W3CDTF">2017-03-19T16:00:00Z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