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123BF" w:rsidRDefault="00512B6C" w:rsidP="00A123BF">
      <w:pPr>
        <w:pStyle w:val="Default"/>
        <w:rPr>
          <w:b/>
        </w:rPr>
      </w:pPr>
      <w:r w:rsidRPr="00A123BF">
        <w:rPr>
          <w:b/>
        </w:rPr>
        <w:t xml:space="preserve">Problem </w:t>
      </w:r>
      <w:r w:rsidR="001D3DC1" w:rsidRPr="00A123BF">
        <w:rPr>
          <w:b/>
        </w:rPr>
        <w:t>15</w:t>
      </w:r>
      <w:r w:rsidR="00A123BF" w:rsidRPr="00A123BF">
        <w:rPr>
          <w:b/>
        </w:rPr>
        <w:t>.29</w:t>
      </w:r>
    </w:p>
    <w:p w:rsidR="00A123BF" w:rsidRPr="00A123BF" w:rsidRDefault="00A123BF" w:rsidP="00A123BF">
      <w:pPr>
        <w:pStyle w:val="Default"/>
      </w:pPr>
    </w:p>
    <w:p w:rsidR="00A123BF" w:rsidRPr="00A123BF" w:rsidRDefault="00A123BF" w:rsidP="00A123BF">
      <w:pPr>
        <w:pStyle w:val="Pa88"/>
        <w:rPr>
          <w:color w:val="211D1E"/>
          <w:szCs w:val="18"/>
        </w:rPr>
      </w:pPr>
      <w:r w:rsidRPr="00A123BF">
        <w:rPr>
          <w:color w:val="211D1E"/>
          <w:szCs w:val="18"/>
        </w:rPr>
        <w:t xml:space="preserve">The </w:t>
      </w:r>
      <w:r w:rsidRPr="00A123BF">
        <w:rPr>
          <w:i/>
          <w:iCs/>
          <w:color w:val="211D1E"/>
          <w:szCs w:val="18"/>
        </w:rPr>
        <w:t xml:space="preserve">Antoine equation </w:t>
      </w:r>
      <w:r w:rsidRPr="00A123BF">
        <w:rPr>
          <w:color w:val="211D1E"/>
          <w:szCs w:val="18"/>
        </w:rPr>
        <w:t xml:space="preserve">describes the relation between vapor pressure and temperature for pure components as </w:t>
      </w:r>
    </w:p>
    <w:p w:rsidR="00A123BF" w:rsidRPr="00A123BF" w:rsidRDefault="00A123BF" w:rsidP="00A123BF">
      <w:pPr>
        <w:pStyle w:val="Default"/>
        <w:jc w:val="center"/>
      </w:pPr>
      <w:r w:rsidRPr="00A123BF">
        <w:rPr>
          <w:position w:val="-24"/>
        </w:rPr>
        <w:object w:dxaOrig="20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01.25pt;height:32.25pt" o:ole="">
            <v:imagedata r:id="rId7" o:title=""/>
          </v:shape>
          <o:OLEObject Type="Embed" ProgID="Equation.DSMT4" ShapeID="_x0000_i1186" DrawAspect="Content" ObjectID="_1551425522" r:id="rId8"/>
        </w:object>
      </w:r>
      <w:r w:rsidRPr="00A123BF">
        <w:t xml:space="preserve"> </w:t>
      </w:r>
    </w:p>
    <w:p w:rsidR="00A123BF" w:rsidRPr="00A123BF" w:rsidRDefault="00A123BF" w:rsidP="00A123BF">
      <w:pPr>
        <w:pStyle w:val="Default"/>
      </w:pPr>
    </w:p>
    <w:p w:rsidR="00A123BF" w:rsidRPr="00A123BF" w:rsidRDefault="00A123BF" w:rsidP="00A123BF">
      <w:pPr>
        <w:pStyle w:val="Default"/>
        <w:rPr>
          <w:color w:val="211D1E"/>
          <w:szCs w:val="18"/>
        </w:rPr>
      </w:pPr>
      <w:r w:rsidRPr="00A123BF">
        <w:rPr>
          <w:color w:val="211D1E"/>
          <w:szCs w:val="18"/>
        </w:rPr>
        <w:t xml:space="preserve">where </w:t>
      </w:r>
      <w:r w:rsidRPr="00A123BF">
        <w:rPr>
          <w:i/>
          <w:iCs/>
          <w:color w:val="211D1E"/>
          <w:szCs w:val="18"/>
        </w:rPr>
        <w:t xml:space="preserve">p </w:t>
      </w:r>
      <w:r w:rsidRPr="00A123BF">
        <w:rPr>
          <w:color w:val="211D1E"/>
          <w:szCs w:val="18"/>
        </w:rPr>
        <w:t xml:space="preserve">is the vapor pressure, </w:t>
      </w:r>
      <w:r w:rsidRPr="00A123BF">
        <w:rPr>
          <w:i/>
          <w:iCs/>
          <w:color w:val="211D1E"/>
          <w:szCs w:val="18"/>
        </w:rPr>
        <w:t xml:space="preserve">T </w:t>
      </w:r>
      <w:r w:rsidRPr="00A123BF">
        <w:rPr>
          <w:color w:val="211D1E"/>
          <w:szCs w:val="18"/>
        </w:rPr>
        <w:t xml:space="preserve">is temperature (K), and </w:t>
      </w:r>
      <w:r w:rsidRPr="00A123BF">
        <w:rPr>
          <w:i/>
          <w:iCs/>
          <w:color w:val="211D1E"/>
          <w:szCs w:val="18"/>
        </w:rPr>
        <w:t xml:space="preserve">A, B, </w:t>
      </w:r>
      <w:r w:rsidRPr="00A123BF">
        <w:rPr>
          <w:color w:val="211D1E"/>
          <w:szCs w:val="18"/>
        </w:rPr>
        <w:t xml:space="preserve">and </w:t>
      </w:r>
      <w:r w:rsidRPr="00A123BF">
        <w:rPr>
          <w:i/>
          <w:iCs/>
          <w:color w:val="211D1E"/>
          <w:szCs w:val="18"/>
        </w:rPr>
        <w:t xml:space="preserve">C </w:t>
      </w:r>
      <w:r w:rsidRPr="00A123BF">
        <w:rPr>
          <w:color w:val="211D1E"/>
          <w:szCs w:val="18"/>
        </w:rPr>
        <w:t>are component-specific constants. Use MATLAB to determine the best values for the constants for carbon mon</w:t>
      </w:r>
      <w:r w:rsidRPr="00A123BF">
        <w:rPr>
          <w:color w:val="211D1E"/>
          <w:szCs w:val="18"/>
        </w:rPr>
        <w:softHyphen/>
        <w:t>oxide based on the following measurements</w:t>
      </w:r>
    </w:p>
    <w:p w:rsidR="00A123BF" w:rsidRPr="00A123BF" w:rsidRDefault="00A123BF" w:rsidP="00A123BF">
      <w:pPr>
        <w:pStyle w:val="Default"/>
        <w:rPr>
          <w:color w:val="211D1E"/>
          <w:szCs w:val="18"/>
        </w:rPr>
      </w:pPr>
    </w:p>
    <w:p w:rsidR="00A123BF" w:rsidRPr="00A123BF" w:rsidRDefault="00A123BF" w:rsidP="00A123BF">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
        <w:gridCol w:w="911"/>
        <w:gridCol w:w="933"/>
        <w:gridCol w:w="950"/>
        <w:gridCol w:w="950"/>
        <w:gridCol w:w="990"/>
        <w:gridCol w:w="944"/>
        <w:gridCol w:w="990"/>
        <w:gridCol w:w="990"/>
        <w:gridCol w:w="990"/>
      </w:tblGrid>
      <w:tr w:rsidR="00A123BF" w:rsidRPr="00A123BF" w:rsidTr="00A123BF">
        <w:tc>
          <w:tcPr>
            <w:tcW w:w="957" w:type="dxa"/>
          </w:tcPr>
          <w:p w:rsidR="00A123BF" w:rsidRPr="00A123BF" w:rsidRDefault="00A123BF" w:rsidP="00C326E2">
            <w:pPr>
              <w:pStyle w:val="Default"/>
              <w:rPr>
                <w:b/>
                <w:bCs/>
                <w:color w:val="211D1E"/>
                <w:szCs w:val="12"/>
              </w:rPr>
            </w:pPr>
            <w:r w:rsidRPr="00A123BF">
              <w:rPr>
                <w:b/>
                <w:bCs/>
                <w:i/>
                <w:iCs/>
                <w:color w:val="211D1E"/>
                <w:szCs w:val="12"/>
              </w:rPr>
              <w:t>T</w:t>
            </w:r>
            <w:r>
              <w:rPr>
                <w:b/>
                <w:bCs/>
                <w:i/>
                <w:iCs/>
                <w:color w:val="211D1E"/>
                <w:szCs w:val="12"/>
              </w:rPr>
              <w:t xml:space="preserve"> </w:t>
            </w:r>
            <w:r w:rsidRPr="00A123BF">
              <w:rPr>
                <w:b/>
                <w:bCs/>
                <w:color w:val="211D1E"/>
                <w:szCs w:val="12"/>
              </w:rPr>
              <w:t>(K)</w:t>
            </w:r>
          </w:p>
        </w:tc>
        <w:tc>
          <w:tcPr>
            <w:tcW w:w="957" w:type="dxa"/>
          </w:tcPr>
          <w:p w:rsidR="00A123BF" w:rsidRPr="00A123BF" w:rsidRDefault="00A123BF" w:rsidP="00C326E2">
            <w:pPr>
              <w:pStyle w:val="Default"/>
              <w:rPr>
                <w:color w:val="211D1E"/>
                <w:szCs w:val="12"/>
              </w:rPr>
            </w:pPr>
            <w:r w:rsidRPr="00A123BF">
              <w:rPr>
                <w:color w:val="211D1E"/>
                <w:szCs w:val="12"/>
              </w:rPr>
              <w:t>50</w:t>
            </w:r>
          </w:p>
        </w:tc>
        <w:tc>
          <w:tcPr>
            <w:tcW w:w="957" w:type="dxa"/>
          </w:tcPr>
          <w:p w:rsidR="00A123BF" w:rsidRPr="00A123BF" w:rsidRDefault="00A123BF" w:rsidP="00C326E2">
            <w:pPr>
              <w:pStyle w:val="Default"/>
              <w:rPr>
                <w:color w:val="211D1E"/>
                <w:szCs w:val="12"/>
              </w:rPr>
            </w:pPr>
            <w:r w:rsidRPr="00A123BF">
              <w:rPr>
                <w:color w:val="211D1E"/>
                <w:szCs w:val="12"/>
              </w:rPr>
              <w:t>60</w:t>
            </w:r>
          </w:p>
        </w:tc>
        <w:tc>
          <w:tcPr>
            <w:tcW w:w="957" w:type="dxa"/>
          </w:tcPr>
          <w:p w:rsidR="00A123BF" w:rsidRPr="00A123BF" w:rsidRDefault="00A123BF" w:rsidP="00C326E2">
            <w:pPr>
              <w:pStyle w:val="Default"/>
              <w:rPr>
                <w:color w:val="211D1E"/>
                <w:szCs w:val="12"/>
              </w:rPr>
            </w:pPr>
            <w:r w:rsidRPr="00A123BF">
              <w:rPr>
                <w:color w:val="211D1E"/>
                <w:szCs w:val="12"/>
              </w:rPr>
              <w:t>70</w:t>
            </w:r>
          </w:p>
        </w:tc>
        <w:tc>
          <w:tcPr>
            <w:tcW w:w="958" w:type="dxa"/>
          </w:tcPr>
          <w:p w:rsidR="00A123BF" w:rsidRPr="00A123BF" w:rsidRDefault="00A123BF" w:rsidP="00C326E2">
            <w:pPr>
              <w:pStyle w:val="Default"/>
              <w:rPr>
                <w:color w:val="211D1E"/>
                <w:szCs w:val="12"/>
              </w:rPr>
            </w:pPr>
            <w:r w:rsidRPr="00A123BF">
              <w:rPr>
                <w:color w:val="211D1E"/>
                <w:szCs w:val="12"/>
              </w:rPr>
              <w:t>80</w:t>
            </w:r>
          </w:p>
        </w:tc>
        <w:tc>
          <w:tcPr>
            <w:tcW w:w="958" w:type="dxa"/>
          </w:tcPr>
          <w:p w:rsidR="00A123BF" w:rsidRPr="00A123BF" w:rsidRDefault="00A123BF" w:rsidP="00C326E2">
            <w:pPr>
              <w:pStyle w:val="Default"/>
              <w:rPr>
                <w:color w:val="211D1E"/>
                <w:szCs w:val="12"/>
              </w:rPr>
            </w:pPr>
            <w:r w:rsidRPr="00A123BF">
              <w:rPr>
                <w:color w:val="211D1E"/>
                <w:szCs w:val="12"/>
              </w:rPr>
              <w:t>90</w:t>
            </w:r>
          </w:p>
        </w:tc>
        <w:tc>
          <w:tcPr>
            <w:tcW w:w="958" w:type="dxa"/>
          </w:tcPr>
          <w:p w:rsidR="00A123BF" w:rsidRPr="00A123BF" w:rsidRDefault="00A123BF" w:rsidP="00C326E2">
            <w:pPr>
              <w:pStyle w:val="Default"/>
              <w:rPr>
                <w:color w:val="211D1E"/>
                <w:szCs w:val="12"/>
              </w:rPr>
            </w:pPr>
            <w:r w:rsidRPr="00A123BF">
              <w:rPr>
                <w:color w:val="211D1E"/>
                <w:szCs w:val="12"/>
              </w:rPr>
              <w:t>100</w:t>
            </w:r>
          </w:p>
        </w:tc>
        <w:tc>
          <w:tcPr>
            <w:tcW w:w="958" w:type="dxa"/>
          </w:tcPr>
          <w:p w:rsidR="00A123BF" w:rsidRPr="00A123BF" w:rsidRDefault="00A123BF" w:rsidP="00C326E2">
            <w:pPr>
              <w:pStyle w:val="Default"/>
              <w:rPr>
                <w:color w:val="211D1E"/>
                <w:szCs w:val="12"/>
              </w:rPr>
            </w:pPr>
            <w:r w:rsidRPr="00A123BF">
              <w:rPr>
                <w:color w:val="211D1E"/>
                <w:szCs w:val="12"/>
              </w:rPr>
              <w:t>110</w:t>
            </w:r>
          </w:p>
        </w:tc>
        <w:tc>
          <w:tcPr>
            <w:tcW w:w="958" w:type="dxa"/>
          </w:tcPr>
          <w:p w:rsidR="00A123BF" w:rsidRPr="00A123BF" w:rsidRDefault="00A123BF" w:rsidP="00C326E2">
            <w:pPr>
              <w:pStyle w:val="Default"/>
              <w:rPr>
                <w:color w:val="211D1E"/>
                <w:szCs w:val="12"/>
              </w:rPr>
            </w:pPr>
            <w:r w:rsidRPr="00A123BF">
              <w:rPr>
                <w:color w:val="211D1E"/>
                <w:szCs w:val="12"/>
              </w:rPr>
              <w:t>120</w:t>
            </w:r>
          </w:p>
        </w:tc>
        <w:tc>
          <w:tcPr>
            <w:tcW w:w="958" w:type="dxa"/>
          </w:tcPr>
          <w:p w:rsidR="00A123BF" w:rsidRPr="00A123BF" w:rsidRDefault="00A123BF" w:rsidP="00C326E2">
            <w:pPr>
              <w:pStyle w:val="Default"/>
              <w:rPr>
                <w:color w:val="211D1E"/>
                <w:szCs w:val="12"/>
              </w:rPr>
            </w:pPr>
            <w:r w:rsidRPr="00A123BF">
              <w:rPr>
                <w:color w:val="211D1E"/>
                <w:szCs w:val="12"/>
              </w:rPr>
              <w:t>130</w:t>
            </w:r>
          </w:p>
        </w:tc>
      </w:tr>
      <w:tr w:rsidR="00A123BF" w:rsidRPr="00A123BF" w:rsidTr="00A123BF">
        <w:tc>
          <w:tcPr>
            <w:tcW w:w="957" w:type="dxa"/>
          </w:tcPr>
          <w:p w:rsidR="00A123BF" w:rsidRPr="00A123BF" w:rsidRDefault="00A123BF" w:rsidP="00C326E2">
            <w:pPr>
              <w:pStyle w:val="Default"/>
              <w:rPr>
                <w:b/>
                <w:bCs/>
                <w:color w:val="211D1E"/>
                <w:szCs w:val="12"/>
              </w:rPr>
            </w:pPr>
            <w:r>
              <w:rPr>
                <w:b/>
                <w:bCs/>
                <w:i/>
                <w:iCs/>
                <w:color w:val="211D1E"/>
                <w:szCs w:val="12"/>
              </w:rPr>
              <w:t xml:space="preserve">p </w:t>
            </w:r>
            <w:r w:rsidRPr="00A123BF">
              <w:rPr>
                <w:b/>
                <w:bCs/>
                <w:color w:val="211D1E"/>
                <w:szCs w:val="12"/>
              </w:rPr>
              <w:t>(Pa)</w:t>
            </w:r>
          </w:p>
        </w:tc>
        <w:tc>
          <w:tcPr>
            <w:tcW w:w="957" w:type="dxa"/>
          </w:tcPr>
          <w:p w:rsidR="00A123BF" w:rsidRPr="00A123BF" w:rsidRDefault="00A123BF" w:rsidP="00C326E2">
            <w:pPr>
              <w:pStyle w:val="Default"/>
              <w:rPr>
                <w:color w:val="211D1E"/>
                <w:sz w:val="32"/>
                <w:szCs w:val="12"/>
                <w:vertAlign w:val="superscript"/>
              </w:rPr>
            </w:pPr>
            <w:r w:rsidRPr="00A123BF">
              <w:rPr>
                <w:color w:val="211D1E"/>
                <w:szCs w:val="12"/>
              </w:rPr>
              <w:t>82</w:t>
            </w:r>
          </w:p>
        </w:tc>
        <w:tc>
          <w:tcPr>
            <w:tcW w:w="957" w:type="dxa"/>
          </w:tcPr>
          <w:p w:rsidR="00A123BF" w:rsidRPr="00A123BF" w:rsidRDefault="00A123BF" w:rsidP="00C326E2">
            <w:pPr>
              <w:pStyle w:val="Default"/>
              <w:rPr>
                <w:color w:val="211D1E"/>
                <w:sz w:val="32"/>
                <w:szCs w:val="12"/>
                <w:vertAlign w:val="superscript"/>
              </w:rPr>
            </w:pPr>
            <w:r w:rsidRPr="00A123BF">
              <w:rPr>
                <w:color w:val="211D1E"/>
                <w:szCs w:val="12"/>
              </w:rPr>
              <w:t>2300</w:t>
            </w:r>
          </w:p>
        </w:tc>
        <w:tc>
          <w:tcPr>
            <w:tcW w:w="957" w:type="dxa"/>
          </w:tcPr>
          <w:p w:rsidR="00A123BF" w:rsidRPr="00A123BF" w:rsidRDefault="00A123BF" w:rsidP="00C326E2">
            <w:pPr>
              <w:pStyle w:val="Default"/>
              <w:rPr>
                <w:color w:val="211D1E"/>
                <w:szCs w:val="12"/>
              </w:rPr>
            </w:pPr>
            <w:r w:rsidRPr="00A123BF">
              <w:rPr>
                <w:color w:val="211D1E"/>
                <w:szCs w:val="12"/>
              </w:rPr>
              <w:t>18,500</w:t>
            </w:r>
          </w:p>
        </w:tc>
        <w:tc>
          <w:tcPr>
            <w:tcW w:w="958" w:type="dxa"/>
          </w:tcPr>
          <w:p w:rsidR="00A123BF" w:rsidRPr="00A123BF" w:rsidRDefault="00A123BF" w:rsidP="00C326E2">
            <w:pPr>
              <w:pStyle w:val="Default"/>
              <w:rPr>
                <w:color w:val="211D1E"/>
                <w:szCs w:val="12"/>
              </w:rPr>
            </w:pPr>
            <w:r w:rsidRPr="00A123BF">
              <w:rPr>
                <w:color w:val="211D1E"/>
                <w:szCs w:val="12"/>
              </w:rPr>
              <w:t>80,500</w:t>
            </w:r>
          </w:p>
        </w:tc>
        <w:tc>
          <w:tcPr>
            <w:tcW w:w="958" w:type="dxa"/>
          </w:tcPr>
          <w:p w:rsidR="00A123BF" w:rsidRPr="00A123BF" w:rsidRDefault="00A123BF" w:rsidP="00C326E2">
            <w:pPr>
              <w:pStyle w:val="Default"/>
              <w:rPr>
                <w:color w:val="211D1E"/>
                <w:szCs w:val="7"/>
              </w:rPr>
            </w:pPr>
            <w:r w:rsidRPr="00A123BF">
              <w:rPr>
                <w:color w:val="211D1E"/>
                <w:szCs w:val="12"/>
              </w:rPr>
              <w:t>2.3×10</w:t>
            </w:r>
            <w:r w:rsidRPr="00A123BF">
              <w:rPr>
                <w:color w:val="211D1E"/>
                <w:sz w:val="32"/>
                <w:szCs w:val="7"/>
                <w:vertAlign w:val="superscript"/>
              </w:rPr>
              <w:t>5</w:t>
            </w:r>
          </w:p>
        </w:tc>
        <w:tc>
          <w:tcPr>
            <w:tcW w:w="958" w:type="dxa"/>
          </w:tcPr>
          <w:p w:rsidR="00A123BF" w:rsidRPr="00A123BF" w:rsidRDefault="00A123BF" w:rsidP="00C326E2">
            <w:pPr>
              <w:pStyle w:val="Default"/>
              <w:rPr>
                <w:color w:val="211D1E"/>
                <w:szCs w:val="7"/>
              </w:rPr>
            </w:pPr>
            <w:r w:rsidRPr="00A123BF">
              <w:rPr>
                <w:color w:val="211D1E"/>
                <w:szCs w:val="12"/>
              </w:rPr>
              <w:t>5×10</w:t>
            </w:r>
            <w:r w:rsidRPr="00A123BF">
              <w:rPr>
                <w:color w:val="211D1E"/>
                <w:sz w:val="32"/>
                <w:szCs w:val="7"/>
                <w:vertAlign w:val="superscript"/>
              </w:rPr>
              <w:t>5</w:t>
            </w:r>
          </w:p>
        </w:tc>
        <w:tc>
          <w:tcPr>
            <w:tcW w:w="958" w:type="dxa"/>
          </w:tcPr>
          <w:p w:rsidR="00A123BF" w:rsidRPr="00A123BF" w:rsidRDefault="00A123BF" w:rsidP="00C326E2">
            <w:pPr>
              <w:pStyle w:val="Default"/>
              <w:rPr>
                <w:color w:val="211D1E"/>
                <w:szCs w:val="7"/>
              </w:rPr>
            </w:pPr>
            <w:r w:rsidRPr="00A123BF">
              <w:rPr>
                <w:color w:val="211D1E"/>
                <w:szCs w:val="12"/>
              </w:rPr>
              <w:t>9.6×10</w:t>
            </w:r>
            <w:r w:rsidRPr="00A123BF">
              <w:rPr>
                <w:color w:val="211D1E"/>
                <w:sz w:val="32"/>
                <w:szCs w:val="7"/>
                <w:vertAlign w:val="superscript"/>
              </w:rPr>
              <w:t>5</w:t>
            </w:r>
          </w:p>
        </w:tc>
        <w:tc>
          <w:tcPr>
            <w:tcW w:w="958" w:type="dxa"/>
          </w:tcPr>
          <w:p w:rsidR="00A123BF" w:rsidRPr="00A123BF" w:rsidRDefault="00A123BF" w:rsidP="00C326E2">
            <w:pPr>
              <w:pStyle w:val="Default"/>
              <w:rPr>
                <w:color w:val="211D1E"/>
                <w:szCs w:val="7"/>
              </w:rPr>
            </w:pPr>
            <w:r w:rsidRPr="00A123BF">
              <w:rPr>
                <w:color w:val="211D1E"/>
                <w:szCs w:val="12"/>
              </w:rPr>
              <w:t>1.5×10</w:t>
            </w:r>
            <w:r w:rsidRPr="00A123BF">
              <w:rPr>
                <w:color w:val="211D1E"/>
                <w:sz w:val="32"/>
                <w:szCs w:val="7"/>
                <w:vertAlign w:val="superscript"/>
              </w:rPr>
              <w:t>6</w:t>
            </w:r>
          </w:p>
        </w:tc>
        <w:tc>
          <w:tcPr>
            <w:tcW w:w="958" w:type="dxa"/>
          </w:tcPr>
          <w:p w:rsidR="00A123BF" w:rsidRPr="00A123BF" w:rsidRDefault="00A123BF" w:rsidP="00C326E2">
            <w:pPr>
              <w:pStyle w:val="Default"/>
            </w:pPr>
            <w:r w:rsidRPr="00A123BF">
              <w:rPr>
                <w:color w:val="211D1E"/>
                <w:szCs w:val="12"/>
              </w:rPr>
              <w:t>2.4×10</w:t>
            </w:r>
            <w:r w:rsidRPr="00A123BF">
              <w:rPr>
                <w:color w:val="211D1E"/>
                <w:sz w:val="32"/>
                <w:szCs w:val="7"/>
                <w:vertAlign w:val="superscript"/>
              </w:rPr>
              <w:t>6</w:t>
            </w:r>
          </w:p>
        </w:tc>
      </w:tr>
    </w:tbl>
    <w:p w:rsidR="00A123BF" w:rsidRPr="00A123BF" w:rsidRDefault="00A123BF" w:rsidP="00A123BF">
      <w:pPr>
        <w:autoSpaceDE w:val="0"/>
        <w:autoSpaceDN w:val="0"/>
        <w:adjustRightInd w:val="0"/>
        <w:spacing w:after="0" w:line="240" w:lineRule="auto"/>
        <w:rPr>
          <w:rFonts w:ascii="STIX" w:hAnsi="STIX" w:cs="STIX"/>
          <w:color w:val="000000"/>
          <w:sz w:val="24"/>
          <w:szCs w:val="24"/>
        </w:rPr>
      </w:pPr>
    </w:p>
    <w:p w:rsidR="00A123BF" w:rsidRPr="00A123BF" w:rsidRDefault="00A123BF" w:rsidP="00A123BF">
      <w:pPr>
        <w:pStyle w:val="Default"/>
      </w:pPr>
      <w:r w:rsidRPr="00A123BF">
        <w:rPr>
          <w:color w:val="211D1E"/>
        </w:rPr>
        <w:t xml:space="preserve">In addition to the constants determine the </w:t>
      </w:r>
      <w:r w:rsidRPr="00A123BF">
        <w:rPr>
          <w:i/>
          <w:iCs/>
          <w:color w:val="211D1E"/>
        </w:rPr>
        <w:t>r</w:t>
      </w:r>
      <w:r w:rsidRPr="00A123BF">
        <w:rPr>
          <w:color w:val="211D1E"/>
          <w:sz w:val="32"/>
          <w:vertAlign w:val="superscript"/>
        </w:rPr>
        <w:t>2</w:t>
      </w:r>
      <w:r w:rsidRPr="00A123BF">
        <w:rPr>
          <w:color w:val="211D1E"/>
        </w:rPr>
        <w:t xml:space="preserve"> and </w:t>
      </w:r>
      <w:r w:rsidRPr="00A123BF">
        <w:rPr>
          <w:i/>
          <w:iCs/>
          <w:color w:val="211D1E"/>
        </w:rPr>
        <w:t>s</w:t>
      </w:r>
      <w:r w:rsidRPr="00A123BF">
        <w:rPr>
          <w:i/>
          <w:iCs/>
          <w:color w:val="211D1E"/>
          <w:sz w:val="32"/>
          <w:vertAlign w:val="subscript"/>
        </w:rPr>
        <w:t>y</w:t>
      </w:r>
      <w:r w:rsidRPr="00A123BF">
        <w:rPr>
          <w:color w:val="211D1E"/>
          <w:sz w:val="32"/>
          <w:vertAlign w:val="subscript"/>
        </w:rPr>
        <w:t>∕</w:t>
      </w:r>
      <w:r w:rsidRPr="00A123BF">
        <w:rPr>
          <w:i/>
          <w:iCs/>
          <w:color w:val="211D1E"/>
          <w:sz w:val="32"/>
          <w:vertAlign w:val="subscript"/>
        </w:rPr>
        <w:t>x</w:t>
      </w:r>
      <w:r w:rsidRPr="00A123BF">
        <w:rPr>
          <w:i/>
          <w:iCs/>
          <w:color w:val="211D1E"/>
        </w:rPr>
        <w:t xml:space="preserve"> </w:t>
      </w:r>
      <w:r w:rsidRPr="00A123BF">
        <w:rPr>
          <w:color w:val="211D1E"/>
        </w:rPr>
        <w:t>for your fit.</w:t>
      </w:r>
    </w:p>
    <w:sectPr w:rsidR="00A123BF" w:rsidRPr="00A123BF"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81</Words>
  <Characters>467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2017-03-19T16:41:00Z</dcterms:created>
  <dcterms:modified xsi:type="dcterms:W3CDTF">2017-03-19T16:41:00Z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