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72F45" w:rsidRDefault="00512B6C" w:rsidP="00C72F45">
      <w:pPr>
        <w:pStyle w:val="Default"/>
        <w:rPr>
          <w:b/>
        </w:rPr>
      </w:pPr>
      <w:r w:rsidRPr="00C72F45">
        <w:rPr>
          <w:b/>
        </w:rPr>
        <w:t xml:space="preserve">Problem </w:t>
      </w:r>
      <w:r w:rsidR="001D3DC1" w:rsidRPr="00C72F45">
        <w:rPr>
          <w:b/>
        </w:rPr>
        <w:t>15</w:t>
      </w:r>
      <w:r w:rsidR="00623880">
        <w:rPr>
          <w:b/>
        </w:rPr>
        <w:t>.30</w:t>
      </w:r>
    </w:p>
    <w:p w:rsidR="00C72F45" w:rsidRPr="00C72F45" w:rsidRDefault="00C72F45" w:rsidP="00C72F45">
      <w:pPr>
        <w:autoSpaceDE w:val="0"/>
        <w:autoSpaceDN w:val="0"/>
        <w:adjustRightInd w:val="0"/>
        <w:spacing w:after="0" w:line="240" w:lineRule="auto"/>
        <w:rPr>
          <w:rFonts w:ascii="STIX" w:hAnsi="STIX" w:cs="STIX"/>
          <w:color w:val="000000"/>
          <w:sz w:val="24"/>
          <w:szCs w:val="24"/>
        </w:rPr>
      </w:pPr>
    </w:p>
    <w:p w:rsidR="00C72F45" w:rsidRPr="00C72F45" w:rsidRDefault="00C72F45" w:rsidP="00C72F45">
      <w:pPr>
        <w:autoSpaceDE w:val="0"/>
        <w:autoSpaceDN w:val="0"/>
        <w:adjustRightInd w:val="0"/>
        <w:spacing w:after="0" w:line="180" w:lineRule="atLeast"/>
        <w:rPr>
          <w:rFonts w:ascii="STIX" w:hAnsi="STIX" w:cs="STIX"/>
          <w:color w:val="211D1E"/>
          <w:sz w:val="24"/>
          <w:szCs w:val="18"/>
        </w:rPr>
      </w:pPr>
      <w:r w:rsidRPr="00C72F45">
        <w:rPr>
          <w:rFonts w:ascii="STIX" w:hAnsi="STIX" w:cs="STIX"/>
          <w:color w:val="211D1E"/>
          <w:sz w:val="24"/>
          <w:szCs w:val="18"/>
        </w:rPr>
        <w:t xml:space="preserve">The following model, based on a simplification of the </w:t>
      </w:r>
      <w:r w:rsidRPr="00C72F45">
        <w:rPr>
          <w:rFonts w:ascii="STIX" w:hAnsi="STIX" w:cs="STIX"/>
          <w:i/>
          <w:iCs/>
          <w:color w:val="211D1E"/>
          <w:sz w:val="24"/>
          <w:szCs w:val="18"/>
        </w:rPr>
        <w:t>Arrhenius equation</w:t>
      </w:r>
      <w:r w:rsidRPr="00C72F45">
        <w:rPr>
          <w:rFonts w:ascii="STIX" w:hAnsi="STIX" w:cs="STIX"/>
          <w:color w:val="211D1E"/>
          <w:sz w:val="24"/>
          <w:szCs w:val="18"/>
        </w:rPr>
        <w:t>, is frequently used in environmental en</w:t>
      </w:r>
      <w:r w:rsidRPr="00C72F45">
        <w:rPr>
          <w:rFonts w:ascii="STIX" w:hAnsi="STIX" w:cs="STIX"/>
          <w:color w:val="211D1E"/>
          <w:sz w:val="24"/>
          <w:szCs w:val="18"/>
        </w:rPr>
        <w:softHyphen/>
        <w:t xml:space="preserve">gineering to parameterize the effect of temperature, </w:t>
      </w:r>
      <w:r w:rsidRPr="00C72F45">
        <w:rPr>
          <w:rFonts w:ascii="STIX" w:hAnsi="STIX" w:cs="STIX"/>
          <w:i/>
          <w:iCs/>
          <w:color w:val="211D1E"/>
          <w:sz w:val="24"/>
          <w:szCs w:val="18"/>
        </w:rPr>
        <w:t xml:space="preserve">T </w:t>
      </w:r>
      <w:r w:rsidRPr="00C72F45">
        <w:rPr>
          <w:rFonts w:ascii="STIX" w:hAnsi="STIX" w:cs="STIX"/>
          <w:color w:val="211D1E"/>
          <w:sz w:val="24"/>
          <w:szCs w:val="18"/>
        </w:rPr>
        <w:t xml:space="preserve">(°C), on pollutant decay rates, </w:t>
      </w:r>
      <w:r w:rsidRPr="00C72F45">
        <w:rPr>
          <w:rFonts w:ascii="STIX" w:hAnsi="STIX" w:cs="STIX"/>
          <w:i/>
          <w:iCs/>
          <w:color w:val="211D1E"/>
          <w:sz w:val="24"/>
          <w:szCs w:val="18"/>
        </w:rPr>
        <w:t xml:space="preserve">k </w:t>
      </w:r>
      <w:r w:rsidRPr="00C72F45">
        <w:rPr>
          <w:rFonts w:ascii="STIX" w:hAnsi="STIX" w:cs="STIX"/>
          <w:color w:val="211D1E"/>
          <w:sz w:val="24"/>
          <w:szCs w:val="18"/>
        </w:rPr>
        <w:t>(per day),</w:t>
      </w:r>
    </w:p>
    <w:p w:rsidR="00C72F45" w:rsidRPr="00C72F45" w:rsidRDefault="00C72F45" w:rsidP="00C72F45">
      <w:pPr>
        <w:autoSpaceDE w:val="0"/>
        <w:autoSpaceDN w:val="0"/>
        <w:adjustRightInd w:val="0"/>
        <w:spacing w:before="240" w:after="240" w:line="180" w:lineRule="atLeast"/>
        <w:ind w:left="240"/>
        <w:jc w:val="center"/>
        <w:rPr>
          <w:rFonts w:ascii="STIX" w:hAnsi="STIX" w:cs="STIX"/>
          <w:color w:val="211D1E"/>
          <w:sz w:val="24"/>
          <w:szCs w:val="11"/>
        </w:rPr>
      </w:pPr>
      <w:r w:rsidRPr="00C72F45">
        <w:rPr>
          <w:rFonts w:ascii="STIX" w:hAnsi="STIX" w:cs="STIX"/>
          <w:i/>
          <w:iCs/>
          <w:color w:val="211D1E"/>
          <w:sz w:val="24"/>
          <w:szCs w:val="18"/>
        </w:rPr>
        <w:t xml:space="preserve">k </w:t>
      </w:r>
      <w:r w:rsidRPr="00C72F45">
        <w:rPr>
          <w:rFonts w:ascii="STIX" w:hAnsi="STIX" w:cs="STIX"/>
          <w:color w:val="211D1E"/>
          <w:sz w:val="24"/>
          <w:szCs w:val="18"/>
        </w:rPr>
        <w:t xml:space="preserve">= </w:t>
      </w:r>
      <w:r w:rsidRPr="00C72F45">
        <w:rPr>
          <w:rFonts w:ascii="STIX" w:hAnsi="STIX" w:cs="STIX"/>
          <w:i/>
          <w:iCs/>
          <w:color w:val="211D1E"/>
          <w:sz w:val="24"/>
          <w:szCs w:val="18"/>
        </w:rPr>
        <w:t>k</w:t>
      </w:r>
      <w:r w:rsidRPr="00C72F45">
        <w:rPr>
          <w:rFonts w:ascii="STIX" w:hAnsi="STIX" w:cs="STIX"/>
          <w:color w:val="211D1E"/>
          <w:sz w:val="32"/>
          <w:szCs w:val="11"/>
          <w:vertAlign w:val="subscript"/>
        </w:rPr>
        <w:t xml:space="preserve">20 </w:t>
      </w:r>
      <w:r w:rsidRPr="00C72F45">
        <w:rPr>
          <w:rFonts w:ascii="STIX" w:hAnsi="STIX" w:cs="STIX"/>
          <w:i/>
          <w:iCs/>
          <w:color w:val="211D1E"/>
          <w:sz w:val="24"/>
          <w:szCs w:val="18"/>
        </w:rPr>
        <w:t>θ</w:t>
      </w:r>
      <w:r w:rsidRPr="00C72F45">
        <w:rPr>
          <w:rFonts w:ascii="STIX" w:hAnsi="STIX" w:cs="STIX"/>
          <w:i/>
          <w:iCs/>
          <w:color w:val="211D1E"/>
          <w:sz w:val="32"/>
          <w:szCs w:val="18"/>
          <w:vertAlign w:val="superscript"/>
        </w:rPr>
        <w:t xml:space="preserve"> </w:t>
      </w:r>
      <w:r w:rsidRPr="00C72F45">
        <w:rPr>
          <w:rFonts w:ascii="STIX" w:hAnsi="STIX" w:cs="STIX"/>
          <w:i/>
          <w:iCs/>
          <w:color w:val="211D1E"/>
          <w:sz w:val="32"/>
          <w:vertAlign w:val="superscript"/>
        </w:rPr>
        <w:t>T</w:t>
      </w:r>
      <w:r w:rsidRPr="00C72F45">
        <w:rPr>
          <w:rFonts w:ascii="STIX" w:hAnsi="STIX" w:cs="STIX"/>
          <w:color w:val="211D1E"/>
          <w:sz w:val="32"/>
          <w:vertAlign w:val="superscript"/>
        </w:rPr>
        <w:t>−20</w:t>
      </w:r>
    </w:p>
    <w:p w:rsidR="00A123BF" w:rsidRDefault="00C72F45" w:rsidP="00C72F45">
      <w:pPr>
        <w:pStyle w:val="Default"/>
        <w:rPr>
          <w:color w:val="211D1E"/>
          <w:szCs w:val="18"/>
        </w:rPr>
      </w:pPr>
      <w:r w:rsidRPr="00C72F45">
        <w:rPr>
          <w:color w:val="211D1E"/>
          <w:szCs w:val="18"/>
        </w:rPr>
        <w:t xml:space="preserve">where the parameters </w:t>
      </w:r>
      <w:r w:rsidRPr="00C72F45">
        <w:rPr>
          <w:i/>
          <w:iCs/>
          <w:color w:val="211D1E"/>
          <w:szCs w:val="18"/>
        </w:rPr>
        <w:t>k</w:t>
      </w:r>
      <w:r w:rsidRPr="00C72F45">
        <w:rPr>
          <w:color w:val="211D1E"/>
          <w:sz w:val="32"/>
          <w:szCs w:val="11"/>
          <w:vertAlign w:val="subscript"/>
        </w:rPr>
        <w:t>20</w:t>
      </w:r>
      <w:r w:rsidRPr="00C72F45">
        <w:rPr>
          <w:color w:val="211D1E"/>
          <w:szCs w:val="11"/>
        </w:rPr>
        <w:t xml:space="preserve"> </w:t>
      </w:r>
      <w:r w:rsidRPr="00C72F45">
        <w:rPr>
          <w:color w:val="211D1E"/>
          <w:szCs w:val="18"/>
        </w:rPr>
        <w:t xml:space="preserve">= the decay rate at 20 °C, and </w:t>
      </w:r>
      <w:r w:rsidRPr="00C72F45">
        <w:rPr>
          <w:i/>
          <w:iCs/>
          <w:color w:val="211D1E"/>
          <w:szCs w:val="18"/>
        </w:rPr>
        <w:t xml:space="preserve">θ </w:t>
      </w:r>
      <w:r w:rsidRPr="00C72F45">
        <w:rPr>
          <w:color w:val="211D1E"/>
          <w:szCs w:val="18"/>
        </w:rPr>
        <w:t>= the dimensionless temperature dependence coefficient. The following data are collected in the laboratory</w:t>
      </w:r>
    </w:p>
    <w:p w:rsidR="00C72F45" w:rsidRPr="00C72F45" w:rsidRDefault="00C72F45" w:rsidP="00C72F45">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6"/>
        <w:gridCol w:w="1596"/>
        <w:gridCol w:w="1596"/>
        <w:gridCol w:w="1596"/>
        <w:gridCol w:w="1596"/>
        <w:gridCol w:w="1596"/>
      </w:tblGrid>
      <w:tr w:rsidR="00C72F45" w:rsidRPr="00C72F45" w:rsidTr="00C72F45">
        <w:tc>
          <w:tcPr>
            <w:tcW w:w="1596" w:type="dxa"/>
          </w:tcPr>
          <w:p w:rsidR="00C72F45" w:rsidRPr="00C72F45" w:rsidRDefault="00C72F45" w:rsidP="00FC0554">
            <w:pPr>
              <w:pStyle w:val="Default"/>
              <w:spacing w:before="220" w:line="160" w:lineRule="atLeast"/>
              <w:rPr>
                <w:b/>
                <w:bCs/>
                <w:color w:val="211D1E"/>
              </w:rPr>
            </w:pPr>
            <w:r w:rsidRPr="00C72F45">
              <w:rPr>
                <w:b/>
                <w:bCs/>
                <w:i/>
                <w:iCs/>
                <w:color w:val="211D1E"/>
              </w:rPr>
              <w:t>T</w:t>
            </w:r>
            <w:r>
              <w:rPr>
                <w:b/>
                <w:bCs/>
                <w:i/>
                <w:iCs/>
                <w:color w:val="211D1E"/>
              </w:rPr>
              <w:t xml:space="preserve"> </w:t>
            </w:r>
            <w:r w:rsidRPr="00C72F45">
              <w:rPr>
                <w:b/>
                <w:bCs/>
                <w:color w:val="211D1E"/>
              </w:rPr>
              <w:t>(°C)</w:t>
            </w:r>
          </w:p>
        </w:tc>
        <w:tc>
          <w:tcPr>
            <w:tcW w:w="1596" w:type="dxa"/>
          </w:tcPr>
          <w:p w:rsidR="00C72F45" w:rsidRPr="00C72F45" w:rsidRDefault="00C72F45" w:rsidP="00FC0554">
            <w:pPr>
              <w:pStyle w:val="Default"/>
              <w:spacing w:before="220" w:line="160" w:lineRule="atLeast"/>
              <w:rPr>
                <w:color w:val="211D1E"/>
              </w:rPr>
            </w:pPr>
            <w:r w:rsidRPr="00C72F45">
              <w:rPr>
                <w:color w:val="211D1E"/>
              </w:rPr>
              <w:t>6</w:t>
            </w:r>
          </w:p>
        </w:tc>
        <w:tc>
          <w:tcPr>
            <w:tcW w:w="1596" w:type="dxa"/>
          </w:tcPr>
          <w:p w:rsidR="00C72F45" w:rsidRPr="00C72F45" w:rsidRDefault="00C72F45" w:rsidP="00FC0554">
            <w:pPr>
              <w:pStyle w:val="Default"/>
              <w:spacing w:before="220" w:line="160" w:lineRule="atLeast"/>
              <w:rPr>
                <w:color w:val="211D1E"/>
              </w:rPr>
            </w:pPr>
            <w:r w:rsidRPr="00C72F45">
              <w:rPr>
                <w:color w:val="211D1E"/>
              </w:rPr>
              <w:t>12</w:t>
            </w:r>
          </w:p>
        </w:tc>
        <w:tc>
          <w:tcPr>
            <w:tcW w:w="1596" w:type="dxa"/>
          </w:tcPr>
          <w:p w:rsidR="00C72F45" w:rsidRPr="00C72F45" w:rsidRDefault="00C72F45" w:rsidP="00FC0554">
            <w:pPr>
              <w:pStyle w:val="Default"/>
              <w:spacing w:before="220" w:line="160" w:lineRule="atLeast"/>
              <w:rPr>
                <w:color w:val="211D1E"/>
              </w:rPr>
            </w:pPr>
            <w:r w:rsidRPr="00C72F45">
              <w:rPr>
                <w:color w:val="211D1E"/>
              </w:rPr>
              <w:t>18</w:t>
            </w:r>
          </w:p>
        </w:tc>
        <w:tc>
          <w:tcPr>
            <w:tcW w:w="1596" w:type="dxa"/>
          </w:tcPr>
          <w:p w:rsidR="00C72F45" w:rsidRPr="00C72F45" w:rsidRDefault="00C72F45" w:rsidP="00FC0554">
            <w:pPr>
              <w:pStyle w:val="Default"/>
              <w:spacing w:before="220" w:line="160" w:lineRule="atLeast"/>
              <w:rPr>
                <w:color w:val="211D1E"/>
              </w:rPr>
            </w:pPr>
            <w:r w:rsidRPr="00C72F45">
              <w:rPr>
                <w:color w:val="211D1E"/>
              </w:rPr>
              <w:t>24</w:t>
            </w:r>
          </w:p>
        </w:tc>
        <w:tc>
          <w:tcPr>
            <w:tcW w:w="1596" w:type="dxa"/>
          </w:tcPr>
          <w:p w:rsidR="00C72F45" w:rsidRPr="00C72F45" w:rsidRDefault="00C72F45" w:rsidP="00FC0554">
            <w:pPr>
              <w:pStyle w:val="Default"/>
              <w:spacing w:before="220" w:line="160" w:lineRule="atLeast"/>
              <w:rPr>
                <w:color w:val="211D1E"/>
              </w:rPr>
            </w:pPr>
            <w:r w:rsidRPr="00C72F45">
              <w:rPr>
                <w:color w:val="211D1E"/>
              </w:rPr>
              <w:t>30</w:t>
            </w:r>
          </w:p>
        </w:tc>
      </w:tr>
      <w:tr w:rsidR="00C72F45" w:rsidRPr="00C72F45" w:rsidTr="00C72F45">
        <w:tc>
          <w:tcPr>
            <w:tcW w:w="1596" w:type="dxa"/>
          </w:tcPr>
          <w:p w:rsidR="00C72F45" w:rsidRPr="00C72F45" w:rsidRDefault="00C72F45" w:rsidP="00FC0554">
            <w:pPr>
              <w:pStyle w:val="Default"/>
              <w:rPr>
                <w:b/>
                <w:bCs/>
                <w:color w:val="211D1E"/>
              </w:rPr>
            </w:pPr>
            <w:r>
              <w:rPr>
                <w:b/>
                <w:bCs/>
                <w:i/>
                <w:iCs/>
                <w:color w:val="211D1E"/>
              </w:rPr>
              <w:t xml:space="preserve">k </w:t>
            </w:r>
            <w:r w:rsidRPr="00C72F45">
              <w:rPr>
                <w:b/>
                <w:bCs/>
                <w:color w:val="211D1E"/>
              </w:rPr>
              <w:t>(per</w:t>
            </w:r>
            <w:r>
              <w:rPr>
                <w:b/>
                <w:bCs/>
                <w:color w:val="211D1E"/>
              </w:rPr>
              <w:t xml:space="preserve"> </w:t>
            </w:r>
            <w:r w:rsidRPr="00C72F45">
              <w:rPr>
                <w:b/>
                <w:bCs/>
                <w:color w:val="211D1E"/>
              </w:rPr>
              <w:t>d)</w:t>
            </w:r>
          </w:p>
        </w:tc>
        <w:tc>
          <w:tcPr>
            <w:tcW w:w="1596" w:type="dxa"/>
          </w:tcPr>
          <w:p w:rsidR="00C72F45" w:rsidRPr="00C72F45" w:rsidRDefault="00C72F45" w:rsidP="00FC0554">
            <w:pPr>
              <w:pStyle w:val="Default"/>
              <w:rPr>
                <w:color w:val="211D1E"/>
              </w:rPr>
            </w:pPr>
            <w:r w:rsidRPr="00C72F45">
              <w:rPr>
                <w:color w:val="211D1E"/>
              </w:rPr>
              <w:t>0.15</w:t>
            </w:r>
          </w:p>
        </w:tc>
        <w:tc>
          <w:tcPr>
            <w:tcW w:w="1596" w:type="dxa"/>
          </w:tcPr>
          <w:p w:rsidR="00C72F45" w:rsidRPr="00C72F45" w:rsidRDefault="00C72F45" w:rsidP="00FC0554">
            <w:pPr>
              <w:pStyle w:val="Default"/>
              <w:rPr>
                <w:color w:val="211D1E"/>
              </w:rPr>
            </w:pPr>
            <w:r w:rsidRPr="00C72F45">
              <w:rPr>
                <w:color w:val="211D1E"/>
              </w:rPr>
              <w:t>0.20</w:t>
            </w:r>
          </w:p>
        </w:tc>
        <w:tc>
          <w:tcPr>
            <w:tcW w:w="1596" w:type="dxa"/>
          </w:tcPr>
          <w:p w:rsidR="00C72F45" w:rsidRPr="00C72F45" w:rsidRDefault="00C72F45" w:rsidP="00FC0554">
            <w:pPr>
              <w:pStyle w:val="Default"/>
              <w:rPr>
                <w:color w:val="211D1E"/>
              </w:rPr>
            </w:pPr>
            <w:r w:rsidRPr="00C72F45">
              <w:rPr>
                <w:color w:val="211D1E"/>
              </w:rPr>
              <w:t>0.32</w:t>
            </w:r>
          </w:p>
        </w:tc>
        <w:tc>
          <w:tcPr>
            <w:tcW w:w="1596" w:type="dxa"/>
          </w:tcPr>
          <w:p w:rsidR="00C72F45" w:rsidRPr="00C72F45" w:rsidRDefault="00C72F45" w:rsidP="00FC0554">
            <w:pPr>
              <w:pStyle w:val="Default"/>
              <w:rPr>
                <w:color w:val="211D1E"/>
              </w:rPr>
            </w:pPr>
            <w:r w:rsidRPr="00C72F45">
              <w:rPr>
                <w:color w:val="211D1E"/>
              </w:rPr>
              <w:t>0.45</w:t>
            </w:r>
          </w:p>
        </w:tc>
        <w:tc>
          <w:tcPr>
            <w:tcW w:w="1596" w:type="dxa"/>
          </w:tcPr>
          <w:p w:rsidR="00C72F45" w:rsidRPr="00C72F45" w:rsidRDefault="00C72F45" w:rsidP="00FC0554">
            <w:pPr>
              <w:pStyle w:val="Default"/>
            </w:pPr>
            <w:r w:rsidRPr="00C72F45">
              <w:rPr>
                <w:color w:val="211D1E"/>
              </w:rPr>
              <w:t>0.70</w:t>
            </w:r>
          </w:p>
        </w:tc>
      </w:tr>
    </w:tbl>
    <w:p w:rsidR="00C72F45" w:rsidRPr="00C72F45" w:rsidRDefault="00C72F45" w:rsidP="00C72F45">
      <w:pPr>
        <w:pStyle w:val="Default"/>
      </w:pPr>
    </w:p>
    <w:p w:rsidR="00C72F45" w:rsidRDefault="00C72F45" w:rsidP="00C72F45">
      <w:pPr>
        <w:pStyle w:val="Default"/>
        <w:rPr>
          <w:color w:val="211D1E"/>
        </w:rPr>
      </w:pPr>
      <w:r w:rsidRPr="00C72F45">
        <w:rPr>
          <w:b/>
          <w:bCs/>
          <w:color w:val="211D1E"/>
        </w:rPr>
        <w:t xml:space="preserve">(a) </w:t>
      </w:r>
      <w:r w:rsidRPr="00C72F45">
        <w:rPr>
          <w:color w:val="211D1E"/>
        </w:rPr>
        <w:t xml:space="preserve">Use a transformation to linearize this equation and then employ linear regression to estimate </w:t>
      </w:r>
      <w:r w:rsidRPr="00C72F45">
        <w:rPr>
          <w:i/>
          <w:iCs/>
          <w:color w:val="211D1E"/>
        </w:rPr>
        <w:t>k</w:t>
      </w:r>
      <w:r w:rsidRPr="00C72F45">
        <w:rPr>
          <w:color w:val="211D1E"/>
          <w:sz w:val="32"/>
          <w:vertAlign w:val="subscript"/>
        </w:rPr>
        <w:t>20</w:t>
      </w:r>
      <w:r w:rsidRPr="00C72F45">
        <w:rPr>
          <w:color w:val="211D1E"/>
        </w:rPr>
        <w:t xml:space="preserve"> and </w:t>
      </w:r>
      <w:r w:rsidRPr="00C72F45">
        <w:rPr>
          <w:i/>
          <w:iCs/>
          <w:color w:val="211D1E"/>
        </w:rPr>
        <w:t>θ</w:t>
      </w:r>
      <w:r w:rsidRPr="00C72F45">
        <w:rPr>
          <w:color w:val="211D1E"/>
        </w:rPr>
        <w:t xml:space="preserve">. </w:t>
      </w:r>
    </w:p>
    <w:p w:rsidR="00C72F45" w:rsidRDefault="00C72F45" w:rsidP="00C72F45">
      <w:pPr>
        <w:pStyle w:val="Default"/>
        <w:rPr>
          <w:color w:val="211D1E"/>
        </w:rPr>
      </w:pPr>
      <w:r w:rsidRPr="00C72F45">
        <w:rPr>
          <w:b/>
          <w:bCs/>
          <w:color w:val="211D1E"/>
        </w:rPr>
        <w:t xml:space="preserve">(b) </w:t>
      </w:r>
      <w:r w:rsidRPr="00C72F45">
        <w:rPr>
          <w:color w:val="211D1E"/>
        </w:rPr>
        <w:t xml:space="preserve">Employ nonlinear regression to estimate the same parameters. </w:t>
      </w:r>
    </w:p>
    <w:p w:rsidR="00C72F45" w:rsidRDefault="00C72F45" w:rsidP="00C72F45">
      <w:pPr>
        <w:pStyle w:val="Default"/>
        <w:rPr>
          <w:color w:val="211D1E"/>
        </w:rPr>
      </w:pPr>
    </w:p>
    <w:p w:rsidR="00C72F45" w:rsidRPr="00C72F45" w:rsidRDefault="00C72F45" w:rsidP="00C72F45">
      <w:pPr>
        <w:pStyle w:val="Default"/>
      </w:pPr>
      <w:r w:rsidRPr="00C72F45">
        <w:rPr>
          <w:color w:val="211D1E"/>
        </w:rPr>
        <w:t xml:space="preserve">For both </w:t>
      </w:r>
      <w:r w:rsidRPr="00C72F45">
        <w:rPr>
          <w:b/>
          <w:bCs/>
          <w:color w:val="211D1E"/>
        </w:rPr>
        <w:t xml:space="preserve">(a) </w:t>
      </w:r>
      <w:r w:rsidRPr="00C72F45">
        <w:rPr>
          <w:color w:val="211D1E"/>
        </w:rPr>
        <w:t xml:space="preserve">and </w:t>
      </w:r>
      <w:r w:rsidRPr="00C72F45">
        <w:rPr>
          <w:b/>
          <w:bCs/>
          <w:color w:val="211D1E"/>
        </w:rPr>
        <w:t xml:space="preserve">(b) </w:t>
      </w:r>
      <w:r w:rsidRPr="00C72F45">
        <w:rPr>
          <w:color w:val="211D1E"/>
        </w:rPr>
        <w:t xml:space="preserve">employ the equation to predict the reaction rate at </w:t>
      </w:r>
      <w:r w:rsidRPr="00C72F45">
        <w:rPr>
          <w:i/>
          <w:iCs/>
          <w:color w:val="211D1E"/>
        </w:rPr>
        <w:t xml:space="preserve">T </w:t>
      </w:r>
      <w:r w:rsidRPr="00C72F45">
        <w:rPr>
          <w:color w:val="211D1E"/>
        </w:rPr>
        <w:t>= 17 °C.</w:t>
      </w:r>
    </w:p>
    <w:sectPr w:rsidR="00C72F45" w:rsidRPr="00C72F4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108</Words>
  <Characters>621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2017-03-19T16:43:00Z</dcterms:created>
  <dcterms:modified xsi:type="dcterms:W3CDTF">2017-03-19T16:44:00Z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