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590B64">
        <w:rPr>
          <w:b/>
          <w:noProof/>
          <w:sz w:val="20"/>
          <w:szCs w:val="20"/>
        </w:rPr>
        <w:t>20</w:t>
      </w:r>
    </w:p>
    <w:p w:rsidR="009C495A" w:rsidRDefault="009C495A" w:rsidP="001B2705">
      <w:pPr>
        <w:pStyle w:val="Default"/>
        <w:rPr>
          <w:b/>
          <w:noProof/>
          <w:sz w:val="20"/>
          <w:szCs w:val="20"/>
        </w:rPr>
      </w:pPr>
    </w:p>
    <w:p w:rsidR="00590B64" w:rsidRPr="00590B64" w:rsidRDefault="00590B64" w:rsidP="00590B64">
      <w:pPr>
        <w:spacing w:after="0" w:line="240" w:lineRule="auto"/>
        <w:rPr>
          <w:rFonts w:ascii="STIX" w:eastAsia="Times New Roman" w:hAnsi="STIX"/>
          <w:sz w:val="20"/>
          <w:szCs w:val="24"/>
        </w:rPr>
      </w:pPr>
      <w:r w:rsidRPr="00590B64">
        <w:rPr>
          <w:rFonts w:ascii="STIX" w:eastAsia="Times New Roman" w:hAnsi="STIX"/>
          <w:sz w:val="20"/>
          <w:szCs w:val="24"/>
        </w:rPr>
        <w:t>The “Thinking” curve can be fit with a linear model whereas the “Braking” curve can be fit with a quadratic model as in the following plot.</w:t>
      </w:r>
    </w:p>
    <w:p w:rsidR="00590B64" w:rsidRPr="00590B64" w:rsidRDefault="00590B64" w:rsidP="00590B64">
      <w:pPr>
        <w:spacing w:after="0" w:line="240" w:lineRule="auto"/>
        <w:rPr>
          <w:rFonts w:ascii="STIX" w:eastAsia="Times New Roman" w:hAnsi="STIX"/>
          <w:sz w:val="20"/>
          <w:szCs w:val="24"/>
        </w:rPr>
      </w:pPr>
    </w:p>
    <w:p w:rsidR="00590B64" w:rsidRPr="00590B64" w:rsidRDefault="00590B64" w:rsidP="00590B64">
      <w:pPr>
        <w:spacing w:after="0" w:line="240" w:lineRule="auto"/>
        <w:rPr>
          <w:rFonts w:ascii="STIX" w:eastAsia="Times New Roman" w:hAnsi="STIX"/>
          <w:sz w:val="20"/>
          <w:szCs w:val="24"/>
        </w:rPr>
      </w:pPr>
      <w:r w:rsidRPr="00590B64">
        <w:rPr>
          <w:rFonts w:ascii="STIX MathJax Main" w:eastAsia="Times New Roman" w:hAnsi="STIX MathJax Main"/>
          <w:sz w:val="20"/>
          <w:szCs w:val="24"/>
        </w:rPr>
        <w:drawing>
          <wp:inline distT="0" distB="0" distL="0" distR="0">
            <wp:extent cx="3498305" cy="1192377"/>
            <wp:effectExtent l="0" t="0" r="6985" b="8255"/>
            <wp:docPr id="397"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528956" cy="1202824"/>
                    </a:xfrm>
                    <a:prstGeom prst="rect">
                      <a:avLst/>
                    </a:prstGeom>
                    <a:noFill/>
                    <a:ln>
                      <a:noFill/>
                    </a:ln>
                  </pic:spPr>
                </pic:pic>
              </a:graphicData>
            </a:graphic>
          </wp:inline>
        </w:drawing>
      </w:r>
    </w:p>
    <w:p w:rsidR="00590B64" w:rsidRPr="00590B64" w:rsidRDefault="00590B64" w:rsidP="00590B64">
      <w:pPr>
        <w:spacing w:after="0" w:line="240" w:lineRule="auto"/>
        <w:rPr>
          <w:rFonts w:ascii="STIX" w:eastAsia="Times New Roman" w:hAnsi="STIX"/>
          <w:sz w:val="20"/>
          <w:szCs w:val="24"/>
        </w:rPr>
      </w:pPr>
    </w:p>
    <w:p w:rsidR="00590B64" w:rsidRPr="00590B64" w:rsidRDefault="00590B64" w:rsidP="00590B64">
      <w:pPr>
        <w:spacing w:after="0" w:line="240" w:lineRule="auto"/>
        <w:rPr>
          <w:rFonts w:ascii="STIX" w:eastAsia="Times New Roman" w:hAnsi="STIX"/>
          <w:sz w:val="20"/>
          <w:szCs w:val="24"/>
        </w:rPr>
      </w:pPr>
      <w:r w:rsidRPr="00590B64">
        <w:rPr>
          <w:rFonts w:ascii="STIX" w:eastAsia="Times New Roman" w:hAnsi="STIX"/>
          <w:sz w:val="20"/>
          <w:szCs w:val="24"/>
        </w:rPr>
        <w:t>A prediction of the total stopping distance for a car traveling at 110 km</w:t>
      </w:r>
      <w:r w:rsidRPr="00590B64">
        <w:rPr>
          <w:rFonts w:ascii="Courier New" w:eastAsia="Times New Roman" w:hAnsi="Courier New"/>
          <w:sz w:val="20"/>
          <w:szCs w:val="24"/>
        </w:rPr>
        <w:t>/</w:t>
      </w:r>
      <w:r w:rsidRPr="00590B64">
        <w:rPr>
          <w:rFonts w:ascii="STIX" w:eastAsia="Times New Roman" w:hAnsi="STIX"/>
          <w:sz w:val="20"/>
          <w:szCs w:val="24"/>
        </w:rPr>
        <w:t>hr can be computed as</w:t>
      </w:r>
    </w:p>
    <w:p w:rsidR="00590B64" w:rsidRPr="00590B64" w:rsidRDefault="00590B64" w:rsidP="00590B64">
      <w:pPr>
        <w:spacing w:after="0" w:line="240" w:lineRule="auto"/>
        <w:rPr>
          <w:rFonts w:ascii="STIX" w:eastAsia="Times New Roman" w:hAnsi="STIX"/>
          <w:sz w:val="20"/>
          <w:szCs w:val="24"/>
        </w:rPr>
      </w:pPr>
    </w:p>
    <w:p w:rsidR="00590B64" w:rsidRPr="00590B64" w:rsidRDefault="00590B64" w:rsidP="00590B64">
      <w:pPr>
        <w:spacing w:after="0" w:line="240" w:lineRule="auto"/>
        <w:rPr>
          <w:rFonts w:ascii="STIX" w:eastAsia="Times New Roman" w:hAnsi="STIX"/>
          <w:sz w:val="20"/>
          <w:szCs w:val="24"/>
        </w:rPr>
      </w:pPr>
      <w:r w:rsidRPr="00590B64">
        <w:rPr>
          <w:rFonts w:ascii="STIX" w:eastAsia="Times New Roman" w:hAnsi="STIX"/>
          <w:position w:val="-10"/>
          <w:sz w:val="20"/>
          <w:szCs w:val="24"/>
        </w:rPr>
        <w:object w:dxaOrig="9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91" type="#_x0000_t75" style="width:477.75pt;height:18.75pt" o:ole="">
            <v:imagedata r:id="rId9" o:title=""/>
          </v:shape>
          <o:OLEObject Type="Embed" ProgID="Equation.DSMT4" ShapeID="_x0000_i14591" DrawAspect="Content" ObjectID="_1552467574" r:id="rId10"/>
        </w:object>
      </w:r>
    </w:p>
    <w:p w:rsidR="00CA4B33" w:rsidRPr="00CA4B33" w:rsidRDefault="00CA4B33" w:rsidP="00590B64">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8C39D-F25E-46D8-80AC-EC226EA31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2017-03-31T14:53:00Z</dcterms:created>
  <dcterms:modified xsi:type="dcterms:W3CDTF">2017-03-31T14:53:00Z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