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9473B" w:rsidRDefault="00512B6C" w:rsidP="00C9473B">
      <w:pPr>
        <w:pStyle w:val="Default"/>
        <w:rPr>
          <w:b/>
        </w:rPr>
      </w:pPr>
      <w:r w:rsidRPr="00C9473B">
        <w:rPr>
          <w:b/>
        </w:rPr>
        <w:t xml:space="preserve">Problem </w:t>
      </w:r>
      <w:r w:rsidR="001D3DC1" w:rsidRPr="00C9473B">
        <w:rPr>
          <w:b/>
        </w:rPr>
        <w:t>1</w:t>
      </w:r>
      <w:r w:rsidR="00C9473B" w:rsidRPr="00C9473B">
        <w:rPr>
          <w:b/>
        </w:rPr>
        <w:t>7.13</w:t>
      </w:r>
    </w:p>
    <w:p w:rsidR="00C9473B" w:rsidRPr="00C9473B" w:rsidRDefault="00C9473B" w:rsidP="00C9473B">
      <w:pPr>
        <w:autoSpaceDE w:val="0"/>
        <w:autoSpaceDN w:val="0"/>
        <w:adjustRightInd w:val="0"/>
        <w:spacing w:after="0" w:line="240" w:lineRule="auto"/>
        <w:rPr>
          <w:rFonts w:ascii="STIX" w:hAnsi="STIX" w:cs="STIX"/>
          <w:color w:val="000000"/>
          <w:sz w:val="24"/>
          <w:szCs w:val="24"/>
        </w:rPr>
      </w:pPr>
    </w:p>
    <w:p w:rsidR="00C9473B" w:rsidRPr="00C9473B" w:rsidRDefault="00C9473B" w:rsidP="00C9473B">
      <w:pPr>
        <w:autoSpaceDE w:val="0"/>
        <w:autoSpaceDN w:val="0"/>
        <w:adjustRightInd w:val="0"/>
        <w:spacing w:after="0" w:line="180" w:lineRule="atLeast"/>
        <w:rPr>
          <w:rFonts w:ascii="STIX" w:hAnsi="STIX" w:cs="STIX"/>
          <w:color w:val="211D1E"/>
          <w:sz w:val="24"/>
          <w:szCs w:val="18"/>
        </w:rPr>
      </w:pPr>
      <w:r w:rsidRPr="00C9473B">
        <w:rPr>
          <w:rFonts w:ascii="STIX" w:hAnsi="STIX" w:cs="STIX"/>
          <w:color w:val="211D1E"/>
          <w:sz w:val="24"/>
          <w:szCs w:val="18"/>
        </w:rPr>
        <w:t>Bessel functions often arise in advanced engineering analyses such as the study of electric fields. Here are some selected values for the zero-order Bessel function of the first kind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6"/>
        <w:gridCol w:w="1596"/>
        <w:gridCol w:w="1596"/>
        <w:gridCol w:w="1596"/>
        <w:gridCol w:w="1596"/>
        <w:gridCol w:w="1596"/>
      </w:tblGrid>
      <w:tr w:rsidR="00C9473B" w:rsidRPr="00C9473B" w:rsidTr="00C9473B">
        <w:tc>
          <w:tcPr>
            <w:tcW w:w="1596" w:type="dxa"/>
          </w:tcPr>
          <w:p w:rsidR="00C9473B" w:rsidRPr="00C9473B" w:rsidRDefault="00C9473B" w:rsidP="00F670A7">
            <w:pPr>
              <w:autoSpaceDE w:val="0"/>
              <w:autoSpaceDN w:val="0"/>
              <w:adjustRightInd w:val="0"/>
              <w:spacing w:before="400" w:after="0" w:line="160" w:lineRule="atLeast"/>
              <w:rPr>
                <w:rFonts w:ascii="STIX" w:hAnsi="STIX" w:cs="STIX"/>
                <w:b/>
                <w:bCs/>
                <w:i/>
                <w:iCs/>
                <w:color w:val="211D1E"/>
                <w:sz w:val="24"/>
                <w:szCs w:val="16"/>
              </w:rPr>
            </w:pPr>
            <w:r w:rsidRPr="00C9473B">
              <w:rPr>
                <w:rFonts w:ascii="STIX" w:hAnsi="STIX" w:cs="STIX"/>
                <w:b/>
                <w:bCs/>
                <w:i/>
                <w:iCs/>
                <w:color w:val="211D1E"/>
                <w:sz w:val="24"/>
                <w:szCs w:val="16"/>
              </w:rPr>
              <w:t>x</w:t>
            </w:r>
          </w:p>
        </w:tc>
        <w:tc>
          <w:tcPr>
            <w:tcW w:w="1596" w:type="dxa"/>
          </w:tcPr>
          <w:p w:rsidR="00C9473B" w:rsidRPr="00C9473B" w:rsidRDefault="00C9473B" w:rsidP="00F670A7">
            <w:pPr>
              <w:autoSpaceDE w:val="0"/>
              <w:autoSpaceDN w:val="0"/>
              <w:adjustRightInd w:val="0"/>
              <w:spacing w:before="400" w:after="0" w:line="160" w:lineRule="atLeast"/>
              <w:rPr>
                <w:rFonts w:ascii="STIX" w:hAnsi="STIX" w:cs="STIX"/>
                <w:color w:val="211D1E"/>
                <w:sz w:val="24"/>
                <w:szCs w:val="16"/>
              </w:rPr>
            </w:pPr>
            <w:r w:rsidRPr="00C9473B">
              <w:rPr>
                <w:rFonts w:ascii="STIX" w:hAnsi="STIX" w:cs="STIX"/>
                <w:color w:val="211D1E"/>
                <w:sz w:val="24"/>
                <w:szCs w:val="16"/>
              </w:rPr>
              <w:t>1.8</w:t>
            </w:r>
          </w:p>
        </w:tc>
        <w:tc>
          <w:tcPr>
            <w:tcW w:w="1596" w:type="dxa"/>
          </w:tcPr>
          <w:p w:rsidR="00C9473B" w:rsidRPr="00C9473B" w:rsidRDefault="00C9473B" w:rsidP="00F670A7">
            <w:pPr>
              <w:autoSpaceDE w:val="0"/>
              <w:autoSpaceDN w:val="0"/>
              <w:adjustRightInd w:val="0"/>
              <w:spacing w:before="400" w:after="0" w:line="160" w:lineRule="atLeast"/>
              <w:rPr>
                <w:rFonts w:ascii="STIX" w:hAnsi="STIX" w:cs="STIX"/>
                <w:color w:val="211D1E"/>
                <w:sz w:val="24"/>
                <w:szCs w:val="16"/>
              </w:rPr>
            </w:pPr>
            <w:r w:rsidRPr="00C9473B">
              <w:rPr>
                <w:rFonts w:ascii="STIX" w:hAnsi="STIX" w:cs="STIX"/>
                <w:color w:val="211D1E"/>
                <w:sz w:val="24"/>
                <w:szCs w:val="16"/>
              </w:rPr>
              <w:t>2.0</w:t>
            </w:r>
          </w:p>
        </w:tc>
        <w:tc>
          <w:tcPr>
            <w:tcW w:w="1596" w:type="dxa"/>
          </w:tcPr>
          <w:p w:rsidR="00C9473B" w:rsidRPr="00C9473B" w:rsidRDefault="00C9473B" w:rsidP="00F670A7">
            <w:pPr>
              <w:autoSpaceDE w:val="0"/>
              <w:autoSpaceDN w:val="0"/>
              <w:adjustRightInd w:val="0"/>
              <w:spacing w:before="400" w:after="0" w:line="160" w:lineRule="atLeast"/>
              <w:rPr>
                <w:rFonts w:ascii="STIX" w:hAnsi="STIX" w:cs="STIX"/>
                <w:color w:val="211D1E"/>
                <w:sz w:val="24"/>
                <w:szCs w:val="16"/>
              </w:rPr>
            </w:pPr>
            <w:r w:rsidRPr="00C9473B">
              <w:rPr>
                <w:rFonts w:ascii="STIX" w:hAnsi="STIX" w:cs="STIX"/>
                <w:color w:val="211D1E"/>
                <w:sz w:val="24"/>
                <w:szCs w:val="16"/>
              </w:rPr>
              <w:t>2.2</w:t>
            </w:r>
          </w:p>
        </w:tc>
        <w:tc>
          <w:tcPr>
            <w:tcW w:w="1596" w:type="dxa"/>
          </w:tcPr>
          <w:p w:rsidR="00C9473B" w:rsidRPr="00C9473B" w:rsidRDefault="00C9473B" w:rsidP="00F670A7">
            <w:pPr>
              <w:autoSpaceDE w:val="0"/>
              <w:autoSpaceDN w:val="0"/>
              <w:adjustRightInd w:val="0"/>
              <w:spacing w:before="400" w:after="0" w:line="160" w:lineRule="atLeast"/>
              <w:rPr>
                <w:rFonts w:ascii="STIX" w:hAnsi="STIX" w:cs="STIX"/>
                <w:color w:val="211D1E"/>
                <w:sz w:val="24"/>
                <w:szCs w:val="16"/>
              </w:rPr>
            </w:pPr>
            <w:r w:rsidRPr="00C9473B">
              <w:rPr>
                <w:rFonts w:ascii="STIX" w:hAnsi="STIX" w:cs="STIX"/>
                <w:color w:val="211D1E"/>
                <w:sz w:val="24"/>
                <w:szCs w:val="16"/>
              </w:rPr>
              <w:t>2.4</w:t>
            </w:r>
          </w:p>
        </w:tc>
        <w:tc>
          <w:tcPr>
            <w:tcW w:w="1596" w:type="dxa"/>
          </w:tcPr>
          <w:p w:rsidR="00C9473B" w:rsidRPr="00C9473B" w:rsidRDefault="00C9473B" w:rsidP="00F670A7">
            <w:pPr>
              <w:autoSpaceDE w:val="0"/>
              <w:autoSpaceDN w:val="0"/>
              <w:adjustRightInd w:val="0"/>
              <w:spacing w:before="400" w:after="0" w:line="160" w:lineRule="atLeast"/>
              <w:rPr>
                <w:rFonts w:ascii="STIX" w:hAnsi="STIX" w:cs="STIX"/>
                <w:color w:val="211D1E"/>
                <w:sz w:val="24"/>
                <w:szCs w:val="16"/>
              </w:rPr>
            </w:pPr>
            <w:r w:rsidRPr="00C9473B">
              <w:rPr>
                <w:rFonts w:ascii="STIX" w:hAnsi="STIX" w:cs="STIX"/>
                <w:color w:val="211D1E"/>
                <w:sz w:val="24"/>
                <w:szCs w:val="16"/>
              </w:rPr>
              <w:t>2.6</w:t>
            </w:r>
          </w:p>
        </w:tc>
      </w:tr>
      <w:tr w:rsidR="00C9473B" w:rsidRPr="00C9473B" w:rsidTr="00C9473B">
        <w:tc>
          <w:tcPr>
            <w:tcW w:w="1596" w:type="dxa"/>
          </w:tcPr>
          <w:p w:rsidR="00C9473B" w:rsidRPr="00C9473B" w:rsidRDefault="00C9473B" w:rsidP="00F670A7">
            <w:pPr>
              <w:autoSpaceDE w:val="0"/>
              <w:autoSpaceDN w:val="0"/>
              <w:adjustRightInd w:val="0"/>
              <w:spacing w:after="400" w:line="160" w:lineRule="atLeast"/>
              <w:rPr>
                <w:rFonts w:ascii="STIX" w:hAnsi="STIX" w:cs="STIX"/>
                <w:b/>
                <w:bCs/>
                <w:color w:val="211D1E"/>
                <w:sz w:val="24"/>
                <w:szCs w:val="16"/>
              </w:rPr>
            </w:pPr>
            <w:r w:rsidRPr="00C9473B">
              <w:rPr>
                <w:rFonts w:ascii="STIX" w:hAnsi="STIX" w:cs="STIX"/>
                <w:b/>
                <w:bCs/>
                <w:i/>
                <w:iCs/>
                <w:color w:val="211D1E"/>
                <w:sz w:val="24"/>
                <w:szCs w:val="16"/>
              </w:rPr>
              <w:t>J</w:t>
            </w:r>
            <w:r w:rsidRPr="00C9473B">
              <w:rPr>
                <w:rFonts w:ascii="STIX" w:hAnsi="STIX" w:cs="STIX"/>
                <w:b/>
                <w:bCs/>
                <w:color w:val="211D1E"/>
                <w:sz w:val="32"/>
                <w:szCs w:val="10"/>
                <w:vertAlign w:val="subscript"/>
              </w:rPr>
              <w:t>1</w:t>
            </w:r>
            <w:r w:rsidRPr="00C9473B">
              <w:rPr>
                <w:rFonts w:ascii="STIX" w:hAnsi="STIX" w:cs="STIX"/>
                <w:b/>
                <w:bCs/>
                <w:color w:val="211D1E"/>
                <w:sz w:val="24"/>
                <w:szCs w:val="16"/>
              </w:rPr>
              <w:t>(</w:t>
            </w:r>
            <w:r w:rsidRPr="00C9473B">
              <w:rPr>
                <w:rFonts w:ascii="STIX" w:hAnsi="STIX" w:cs="STIX"/>
                <w:b/>
                <w:bCs/>
                <w:i/>
                <w:iCs/>
                <w:color w:val="211D1E"/>
                <w:sz w:val="24"/>
                <w:szCs w:val="16"/>
              </w:rPr>
              <w:t>x</w:t>
            </w:r>
            <w:r w:rsidRPr="00C9473B">
              <w:rPr>
                <w:rFonts w:ascii="STIX" w:hAnsi="STIX" w:cs="STIX"/>
                <w:b/>
                <w:bCs/>
                <w:color w:val="211D1E"/>
                <w:sz w:val="24"/>
                <w:szCs w:val="16"/>
              </w:rPr>
              <w:t>)</w:t>
            </w:r>
          </w:p>
        </w:tc>
        <w:tc>
          <w:tcPr>
            <w:tcW w:w="1596" w:type="dxa"/>
          </w:tcPr>
          <w:p w:rsidR="00C9473B" w:rsidRPr="00C9473B" w:rsidRDefault="00C9473B" w:rsidP="00F670A7">
            <w:pPr>
              <w:autoSpaceDE w:val="0"/>
              <w:autoSpaceDN w:val="0"/>
              <w:adjustRightInd w:val="0"/>
              <w:spacing w:after="400" w:line="160" w:lineRule="atLeast"/>
              <w:rPr>
                <w:rFonts w:ascii="STIX" w:hAnsi="STIX" w:cs="STIX"/>
                <w:color w:val="211D1E"/>
                <w:sz w:val="24"/>
                <w:szCs w:val="16"/>
              </w:rPr>
            </w:pPr>
            <w:r w:rsidRPr="00C9473B">
              <w:rPr>
                <w:rFonts w:ascii="STIX" w:hAnsi="STIX" w:cs="STIX"/>
                <w:color w:val="211D1E"/>
                <w:sz w:val="24"/>
                <w:szCs w:val="16"/>
              </w:rPr>
              <w:t>0.5815</w:t>
            </w:r>
          </w:p>
        </w:tc>
        <w:tc>
          <w:tcPr>
            <w:tcW w:w="1596" w:type="dxa"/>
          </w:tcPr>
          <w:p w:rsidR="00C9473B" w:rsidRPr="00C9473B" w:rsidRDefault="00C9473B" w:rsidP="00F670A7">
            <w:pPr>
              <w:autoSpaceDE w:val="0"/>
              <w:autoSpaceDN w:val="0"/>
              <w:adjustRightInd w:val="0"/>
              <w:spacing w:after="400" w:line="160" w:lineRule="atLeast"/>
              <w:rPr>
                <w:rFonts w:ascii="STIX" w:hAnsi="STIX" w:cs="STIX"/>
                <w:color w:val="211D1E"/>
                <w:sz w:val="24"/>
                <w:szCs w:val="16"/>
              </w:rPr>
            </w:pPr>
            <w:r w:rsidRPr="00C9473B">
              <w:rPr>
                <w:rFonts w:ascii="STIX" w:hAnsi="STIX" w:cs="STIX"/>
                <w:color w:val="211D1E"/>
                <w:sz w:val="24"/>
                <w:szCs w:val="16"/>
              </w:rPr>
              <w:t>0.5767</w:t>
            </w:r>
          </w:p>
        </w:tc>
        <w:tc>
          <w:tcPr>
            <w:tcW w:w="1596" w:type="dxa"/>
          </w:tcPr>
          <w:p w:rsidR="00C9473B" w:rsidRPr="00C9473B" w:rsidRDefault="00C9473B" w:rsidP="00F670A7">
            <w:pPr>
              <w:autoSpaceDE w:val="0"/>
              <w:autoSpaceDN w:val="0"/>
              <w:adjustRightInd w:val="0"/>
              <w:spacing w:after="400" w:line="160" w:lineRule="atLeast"/>
              <w:rPr>
                <w:rFonts w:ascii="STIX" w:hAnsi="STIX" w:cs="STIX"/>
                <w:color w:val="211D1E"/>
                <w:sz w:val="24"/>
                <w:szCs w:val="16"/>
              </w:rPr>
            </w:pPr>
            <w:r w:rsidRPr="00C9473B">
              <w:rPr>
                <w:rFonts w:ascii="STIX" w:hAnsi="STIX" w:cs="STIX"/>
                <w:color w:val="211D1E"/>
                <w:sz w:val="24"/>
                <w:szCs w:val="16"/>
              </w:rPr>
              <w:t>0.5560</w:t>
            </w:r>
          </w:p>
        </w:tc>
        <w:tc>
          <w:tcPr>
            <w:tcW w:w="1596" w:type="dxa"/>
          </w:tcPr>
          <w:p w:rsidR="00C9473B" w:rsidRPr="00C9473B" w:rsidRDefault="00C9473B" w:rsidP="00F670A7">
            <w:pPr>
              <w:autoSpaceDE w:val="0"/>
              <w:autoSpaceDN w:val="0"/>
              <w:adjustRightInd w:val="0"/>
              <w:spacing w:after="400" w:line="160" w:lineRule="atLeast"/>
              <w:rPr>
                <w:rFonts w:ascii="STIX" w:hAnsi="STIX" w:cs="STIX"/>
                <w:color w:val="211D1E"/>
                <w:sz w:val="24"/>
                <w:szCs w:val="16"/>
              </w:rPr>
            </w:pPr>
            <w:r w:rsidRPr="00C9473B">
              <w:rPr>
                <w:rFonts w:ascii="STIX" w:hAnsi="STIX" w:cs="STIX"/>
                <w:color w:val="211D1E"/>
                <w:sz w:val="24"/>
                <w:szCs w:val="16"/>
              </w:rPr>
              <w:t>0.5202</w:t>
            </w:r>
          </w:p>
        </w:tc>
        <w:tc>
          <w:tcPr>
            <w:tcW w:w="1596" w:type="dxa"/>
          </w:tcPr>
          <w:p w:rsidR="00C9473B" w:rsidRPr="00C9473B" w:rsidRDefault="00C9473B" w:rsidP="00F670A7">
            <w:pPr>
              <w:autoSpaceDE w:val="0"/>
              <w:autoSpaceDN w:val="0"/>
              <w:adjustRightInd w:val="0"/>
              <w:spacing w:after="400" w:line="160" w:lineRule="atLeast"/>
              <w:rPr>
                <w:rFonts w:ascii="STIX" w:hAnsi="STIX" w:cs="STIX"/>
                <w:color w:val="211D1E"/>
                <w:sz w:val="24"/>
                <w:szCs w:val="16"/>
              </w:rPr>
            </w:pPr>
            <w:r w:rsidRPr="00C9473B">
              <w:rPr>
                <w:rFonts w:ascii="STIX" w:hAnsi="STIX" w:cs="STIX"/>
                <w:color w:val="211D1E"/>
                <w:sz w:val="24"/>
                <w:szCs w:val="16"/>
              </w:rPr>
              <w:t>0.4708</w:t>
            </w:r>
          </w:p>
        </w:tc>
      </w:tr>
    </w:tbl>
    <w:p w:rsidR="00B32507" w:rsidRPr="00C9473B" w:rsidRDefault="00C9473B" w:rsidP="00C9473B">
      <w:pPr>
        <w:pStyle w:val="Default"/>
      </w:pPr>
      <w:r w:rsidRPr="00C9473B">
        <w:rPr>
          <w:color w:val="211D1E"/>
          <w:szCs w:val="18"/>
        </w:rPr>
        <w:t xml:space="preserve">Estimate </w:t>
      </w:r>
      <w:r w:rsidRPr="00C9473B">
        <w:rPr>
          <w:i/>
          <w:iCs/>
          <w:color w:val="211D1E"/>
          <w:szCs w:val="18"/>
        </w:rPr>
        <w:t>J</w:t>
      </w:r>
      <w:r w:rsidRPr="00C9473B">
        <w:rPr>
          <w:color w:val="211D1E"/>
          <w:sz w:val="32"/>
          <w:vertAlign w:val="subscript"/>
        </w:rPr>
        <w:t>1</w:t>
      </w:r>
      <w:r w:rsidRPr="00C9473B">
        <w:rPr>
          <w:color w:val="211D1E"/>
        </w:rPr>
        <w:t xml:space="preserve"> </w:t>
      </w:r>
      <w:r w:rsidRPr="00C9473B">
        <w:rPr>
          <w:color w:val="211D1E"/>
          <w:szCs w:val="18"/>
        </w:rPr>
        <w:t xml:space="preserve">(2.1) using third- and fourth-order interpolating polynomials. Determine the percent relative error for each case based on the true value, which can be determined with MATLAB’s built-in function </w:t>
      </w:r>
      <w:r w:rsidRPr="00C9473B">
        <w:rPr>
          <w:rFonts w:ascii="Courier" w:hAnsi="Courier"/>
          <w:color w:val="211D1E"/>
        </w:rPr>
        <w:t>besselj</w:t>
      </w:r>
      <w:r w:rsidRPr="00C9473B">
        <w:rPr>
          <w:color w:val="211D1E"/>
          <w:szCs w:val="18"/>
        </w:rPr>
        <w:t>.</w:t>
      </w:r>
    </w:p>
    <w:sectPr w:rsidR="00B32507" w:rsidRPr="00C9473B"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408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2017-03-19T19:09:00Z</dcterms:created>
  <dcterms:modified xsi:type="dcterms:W3CDTF">2017-03-19T19:09:00Z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