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005DD" w:rsidRDefault="00512B6C" w:rsidP="003005DD">
      <w:pPr>
        <w:pStyle w:val="Default"/>
        <w:rPr>
          <w:b/>
        </w:rPr>
      </w:pPr>
      <w:r w:rsidRPr="003005DD">
        <w:rPr>
          <w:b/>
        </w:rPr>
        <w:t xml:space="preserve">Problem </w:t>
      </w:r>
      <w:r w:rsidR="001D3DC1" w:rsidRPr="003005DD">
        <w:rPr>
          <w:b/>
        </w:rPr>
        <w:t>1</w:t>
      </w:r>
      <w:r w:rsidR="003005DD" w:rsidRPr="003005DD">
        <w:rPr>
          <w:b/>
        </w:rPr>
        <w:t>7.16</w:t>
      </w:r>
    </w:p>
    <w:p w:rsidR="003005DD" w:rsidRPr="003005DD" w:rsidRDefault="003005DD" w:rsidP="003005DD">
      <w:pPr>
        <w:autoSpaceDE w:val="0"/>
        <w:autoSpaceDN w:val="0"/>
        <w:adjustRightInd w:val="0"/>
        <w:spacing w:after="0" w:line="240" w:lineRule="auto"/>
        <w:rPr>
          <w:rFonts w:ascii="STIX" w:hAnsi="STIX" w:cs="STIX"/>
          <w:color w:val="000000"/>
          <w:sz w:val="24"/>
          <w:szCs w:val="24"/>
        </w:rPr>
      </w:pPr>
    </w:p>
    <w:p w:rsidR="003005DD" w:rsidRPr="003005DD" w:rsidRDefault="003005DD" w:rsidP="003005DD">
      <w:pPr>
        <w:autoSpaceDE w:val="0"/>
        <w:autoSpaceDN w:val="0"/>
        <w:adjustRightInd w:val="0"/>
        <w:spacing w:after="0" w:line="180" w:lineRule="atLeast"/>
        <w:rPr>
          <w:rFonts w:ascii="STIX" w:hAnsi="STIX" w:cs="STIX"/>
          <w:color w:val="211D1E"/>
          <w:sz w:val="24"/>
          <w:szCs w:val="18"/>
        </w:rPr>
      </w:pPr>
      <w:r w:rsidRPr="003005DD">
        <w:rPr>
          <w:rFonts w:ascii="STIX" w:hAnsi="STIX" w:cs="STIX"/>
          <w:color w:val="211D1E"/>
          <w:sz w:val="24"/>
          <w:szCs w:val="18"/>
        </w:rPr>
        <w:t xml:space="preserve">The vertical stress </w:t>
      </w:r>
      <w:r w:rsidRPr="003005DD">
        <w:rPr>
          <w:rFonts w:ascii="STIX" w:hAnsi="STIX" w:cs="STIX"/>
          <w:i/>
          <w:iCs/>
          <w:color w:val="211D1E"/>
          <w:sz w:val="24"/>
          <w:szCs w:val="18"/>
        </w:rPr>
        <w:t>σ</w:t>
      </w:r>
      <w:r w:rsidRPr="003005DD">
        <w:rPr>
          <w:rFonts w:ascii="STIX" w:hAnsi="STIX" w:cs="STIX"/>
          <w:i/>
          <w:iCs/>
          <w:color w:val="211D1E"/>
          <w:sz w:val="32"/>
          <w:vertAlign w:val="subscript"/>
        </w:rPr>
        <w:t>z</w:t>
      </w:r>
      <w:r w:rsidRPr="003005DD">
        <w:rPr>
          <w:rFonts w:ascii="STIX" w:hAnsi="STIX" w:cs="STIX"/>
          <w:i/>
          <w:iCs/>
          <w:color w:val="211D1E"/>
          <w:sz w:val="24"/>
        </w:rPr>
        <w:t xml:space="preserve"> </w:t>
      </w:r>
      <w:r w:rsidRPr="003005DD">
        <w:rPr>
          <w:rFonts w:ascii="STIX" w:hAnsi="STIX" w:cs="STIX"/>
          <w:color w:val="211D1E"/>
          <w:sz w:val="24"/>
          <w:szCs w:val="18"/>
        </w:rPr>
        <w:t xml:space="preserve">under the corner of a rectangular area subjected to a uniform load of intensity </w:t>
      </w:r>
      <w:r w:rsidRPr="003005DD">
        <w:rPr>
          <w:rFonts w:ascii="STIX" w:hAnsi="STIX" w:cs="STIX"/>
          <w:i/>
          <w:iCs/>
          <w:color w:val="211D1E"/>
          <w:sz w:val="24"/>
          <w:szCs w:val="18"/>
        </w:rPr>
        <w:t xml:space="preserve">q </w:t>
      </w:r>
      <w:r w:rsidRPr="003005DD">
        <w:rPr>
          <w:rFonts w:ascii="STIX" w:hAnsi="STIX" w:cs="STIX"/>
          <w:color w:val="211D1E"/>
          <w:sz w:val="24"/>
          <w:szCs w:val="18"/>
        </w:rPr>
        <w:t>is given by the solution of Boussinesq’s equation:</w:t>
      </w:r>
    </w:p>
    <w:p w:rsidR="003005DD" w:rsidRDefault="003005DD" w:rsidP="003005DD">
      <w:pPr>
        <w:autoSpaceDE w:val="0"/>
        <w:autoSpaceDN w:val="0"/>
        <w:adjustRightInd w:val="0"/>
        <w:spacing w:after="0" w:line="180" w:lineRule="atLeast"/>
        <w:rPr>
          <w:rFonts w:ascii="STIX" w:hAnsi="STIX" w:cs="STIX"/>
          <w:color w:val="211D1E"/>
          <w:sz w:val="24"/>
          <w:szCs w:val="18"/>
        </w:rPr>
      </w:pPr>
    </w:p>
    <w:p w:rsidR="003005DD" w:rsidRDefault="003005DD" w:rsidP="003005DD">
      <w:pPr>
        <w:autoSpaceDE w:val="0"/>
        <w:autoSpaceDN w:val="0"/>
        <w:adjustRightInd w:val="0"/>
        <w:spacing w:after="0" w:line="180" w:lineRule="atLeast"/>
        <w:jc w:val="center"/>
        <w:rPr>
          <w:rFonts w:ascii="STIX" w:hAnsi="STIX" w:cs="STIX"/>
          <w:color w:val="211D1E"/>
          <w:sz w:val="24"/>
          <w:szCs w:val="18"/>
        </w:rPr>
      </w:pPr>
      <w:r w:rsidRPr="003005DD">
        <w:rPr>
          <w:rFonts w:ascii="STIX" w:hAnsi="STIX" w:cs="STIX"/>
          <w:color w:val="211D1E"/>
          <w:position w:val="-58"/>
          <w:sz w:val="24"/>
          <w:szCs w:val="18"/>
        </w:rPr>
        <w:object w:dxaOrig="7180" w:dyaOrig="1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359.25pt;height:63.75pt" o:ole="">
            <v:imagedata r:id="rId7" o:title=""/>
          </v:shape>
          <o:OLEObject Type="Embed" ProgID="Equation.DSMT4" ShapeID="_x0000_i1238" DrawAspect="Content" ObjectID="_1551435228" r:id="rId8"/>
        </w:object>
      </w:r>
    </w:p>
    <w:p w:rsidR="003005DD" w:rsidRPr="003005DD" w:rsidRDefault="003005DD" w:rsidP="003005DD">
      <w:pPr>
        <w:autoSpaceDE w:val="0"/>
        <w:autoSpaceDN w:val="0"/>
        <w:adjustRightInd w:val="0"/>
        <w:spacing w:after="0" w:line="180" w:lineRule="atLeast"/>
        <w:rPr>
          <w:rFonts w:ascii="STIX" w:hAnsi="STIX" w:cs="STIX"/>
          <w:color w:val="211D1E"/>
          <w:sz w:val="24"/>
          <w:szCs w:val="18"/>
        </w:rPr>
      </w:pPr>
      <w:r w:rsidRPr="003005DD">
        <w:rPr>
          <w:rFonts w:ascii="STIX" w:hAnsi="STIX" w:cs="STIX"/>
          <w:color w:val="211D1E"/>
          <w:sz w:val="24"/>
          <w:szCs w:val="18"/>
        </w:rPr>
        <w:t>Because this equation is inconvenient to solve manually, it has been reformulated as</w:t>
      </w:r>
    </w:p>
    <w:p w:rsidR="003005DD" w:rsidRPr="003005DD" w:rsidRDefault="003005DD" w:rsidP="003005DD">
      <w:pPr>
        <w:autoSpaceDE w:val="0"/>
        <w:autoSpaceDN w:val="0"/>
        <w:adjustRightInd w:val="0"/>
        <w:spacing w:before="120" w:after="120" w:line="180" w:lineRule="atLeast"/>
        <w:ind w:left="240"/>
        <w:jc w:val="center"/>
        <w:rPr>
          <w:rFonts w:ascii="STIX" w:hAnsi="STIX" w:cs="STIX"/>
          <w:color w:val="211D1E"/>
          <w:sz w:val="24"/>
          <w:szCs w:val="18"/>
        </w:rPr>
      </w:pPr>
      <w:r w:rsidRPr="003005DD">
        <w:rPr>
          <w:rFonts w:ascii="STIX" w:hAnsi="STIX" w:cs="STIX"/>
          <w:i/>
          <w:iCs/>
          <w:color w:val="211D1E"/>
          <w:sz w:val="24"/>
          <w:szCs w:val="18"/>
        </w:rPr>
        <w:t>σ</w:t>
      </w:r>
      <w:r w:rsidRPr="003005DD">
        <w:rPr>
          <w:rFonts w:ascii="STIX" w:hAnsi="STIX" w:cs="STIX"/>
          <w:i/>
          <w:iCs/>
          <w:color w:val="211D1E"/>
          <w:sz w:val="32"/>
          <w:vertAlign w:val="subscript"/>
        </w:rPr>
        <w:t>z</w:t>
      </w:r>
      <w:r w:rsidRPr="003005DD">
        <w:rPr>
          <w:rFonts w:ascii="STIX" w:hAnsi="STIX" w:cs="STIX"/>
          <w:i/>
          <w:iCs/>
          <w:color w:val="211D1E"/>
          <w:sz w:val="24"/>
        </w:rPr>
        <w:t xml:space="preserve"> </w:t>
      </w:r>
      <w:r w:rsidRPr="003005DD">
        <w:rPr>
          <w:rFonts w:ascii="STIX" w:hAnsi="STIX" w:cs="STIX"/>
          <w:color w:val="211D1E"/>
          <w:sz w:val="24"/>
          <w:szCs w:val="18"/>
        </w:rPr>
        <w:t xml:space="preserve">= </w:t>
      </w:r>
      <w:r w:rsidRPr="003005DD">
        <w:rPr>
          <w:rFonts w:ascii="STIX" w:hAnsi="STIX" w:cs="STIX"/>
          <w:i/>
          <w:iCs/>
          <w:color w:val="211D1E"/>
          <w:sz w:val="24"/>
          <w:szCs w:val="18"/>
        </w:rPr>
        <w:t>q f</w:t>
      </w:r>
      <w:r w:rsidRPr="003005DD">
        <w:rPr>
          <w:rFonts w:ascii="STIX" w:hAnsi="STIX" w:cs="STIX"/>
          <w:i/>
          <w:iCs/>
          <w:color w:val="211D1E"/>
          <w:sz w:val="32"/>
          <w:vertAlign w:val="subscript"/>
        </w:rPr>
        <w:t>z</w:t>
      </w:r>
      <w:r w:rsidRPr="003005DD">
        <w:rPr>
          <w:rFonts w:ascii="STIX" w:hAnsi="STIX" w:cs="STIX"/>
          <w:color w:val="211D1E"/>
          <w:sz w:val="24"/>
          <w:szCs w:val="18"/>
        </w:rPr>
        <w:t>(</w:t>
      </w:r>
      <w:r w:rsidRPr="003005DD">
        <w:rPr>
          <w:rFonts w:ascii="STIX" w:hAnsi="STIX" w:cs="STIX"/>
          <w:i/>
          <w:iCs/>
          <w:color w:val="211D1E"/>
          <w:sz w:val="24"/>
          <w:szCs w:val="18"/>
        </w:rPr>
        <w:t>m</w:t>
      </w:r>
      <w:r w:rsidRPr="003005DD">
        <w:rPr>
          <w:rFonts w:ascii="STIX" w:hAnsi="STIX" w:cs="STIX"/>
          <w:color w:val="211D1E"/>
          <w:sz w:val="24"/>
          <w:szCs w:val="18"/>
        </w:rPr>
        <w:t xml:space="preserve">, </w:t>
      </w:r>
      <w:r w:rsidRPr="003005DD">
        <w:rPr>
          <w:rFonts w:ascii="STIX" w:hAnsi="STIX" w:cs="STIX"/>
          <w:i/>
          <w:iCs/>
          <w:color w:val="211D1E"/>
          <w:sz w:val="24"/>
          <w:szCs w:val="18"/>
        </w:rPr>
        <w:t>n</w:t>
      </w:r>
      <w:r w:rsidRPr="003005DD">
        <w:rPr>
          <w:rFonts w:ascii="STIX" w:hAnsi="STIX" w:cs="STIX"/>
          <w:color w:val="211D1E"/>
          <w:sz w:val="24"/>
          <w:szCs w:val="18"/>
        </w:rPr>
        <w:t>)</w:t>
      </w:r>
    </w:p>
    <w:p w:rsidR="00FF5858" w:rsidRPr="003005DD" w:rsidRDefault="003005DD" w:rsidP="003005DD">
      <w:pPr>
        <w:pStyle w:val="Default"/>
      </w:pPr>
      <w:r w:rsidRPr="003005DD">
        <w:rPr>
          <w:color w:val="211D1E"/>
          <w:szCs w:val="18"/>
        </w:rPr>
        <w:t xml:space="preserve">where </w:t>
      </w:r>
      <w:r w:rsidRPr="003005DD">
        <w:rPr>
          <w:i/>
          <w:iCs/>
          <w:color w:val="211D1E"/>
          <w:szCs w:val="18"/>
        </w:rPr>
        <w:t>f</w:t>
      </w:r>
      <w:r w:rsidRPr="003005DD">
        <w:rPr>
          <w:i/>
          <w:iCs/>
          <w:color w:val="211D1E"/>
          <w:sz w:val="32"/>
          <w:vertAlign w:val="subscript"/>
        </w:rPr>
        <w:t>z</w:t>
      </w:r>
      <w:r w:rsidRPr="003005DD">
        <w:rPr>
          <w:color w:val="211D1E"/>
          <w:szCs w:val="18"/>
        </w:rPr>
        <w:t>(</w:t>
      </w:r>
      <w:r w:rsidRPr="003005DD">
        <w:rPr>
          <w:i/>
          <w:iCs/>
          <w:color w:val="211D1E"/>
          <w:szCs w:val="18"/>
        </w:rPr>
        <w:t>m</w:t>
      </w:r>
      <w:r w:rsidRPr="003005DD">
        <w:rPr>
          <w:color w:val="211D1E"/>
          <w:szCs w:val="18"/>
        </w:rPr>
        <w:t xml:space="preserve">, </w:t>
      </w:r>
      <w:r w:rsidRPr="003005DD">
        <w:rPr>
          <w:i/>
          <w:iCs/>
          <w:color w:val="211D1E"/>
          <w:szCs w:val="18"/>
        </w:rPr>
        <w:t>n</w:t>
      </w:r>
      <w:r w:rsidRPr="003005DD">
        <w:rPr>
          <w:color w:val="211D1E"/>
          <w:szCs w:val="18"/>
        </w:rPr>
        <w:t xml:space="preserve">) is called the influence value, and </w:t>
      </w:r>
      <w:r w:rsidRPr="003005DD">
        <w:rPr>
          <w:i/>
          <w:iCs/>
          <w:color w:val="211D1E"/>
          <w:szCs w:val="18"/>
        </w:rPr>
        <w:t xml:space="preserve">m </w:t>
      </w:r>
      <w:r w:rsidRPr="003005DD">
        <w:rPr>
          <w:color w:val="211D1E"/>
          <w:szCs w:val="18"/>
        </w:rPr>
        <w:t xml:space="preserve">and </w:t>
      </w:r>
      <w:r w:rsidRPr="003005DD">
        <w:rPr>
          <w:i/>
          <w:iCs/>
          <w:color w:val="211D1E"/>
          <w:szCs w:val="18"/>
        </w:rPr>
        <w:t xml:space="preserve">n </w:t>
      </w:r>
      <w:r w:rsidRPr="003005DD">
        <w:rPr>
          <w:color w:val="211D1E"/>
          <w:szCs w:val="18"/>
        </w:rPr>
        <w:t xml:space="preserve">are dimensionless ratios, with </w:t>
      </w:r>
      <w:r w:rsidRPr="003005DD">
        <w:rPr>
          <w:i/>
          <w:iCs/>
          <w:color w:val="211D1E"/>
          <w:szCs w:val="18"/>
        </w:rPr>
        <w:t xml:space="preserve">m </w:t>
      </w:r>
      <w:r w:rsidRPr="003005DD">
        <w:rPr>
          <w:color w:val="211D1E"/>
          <w:szCs w:val="18"/>
        </w:rPr>
        <w:t xml:space="preserve">= </w:t>
      </w:r>
      <w:r w:rsidRPr="003005DD">
        <w:rPr>
          <w:i/>
          <w:iCs/>
          <w:color w:val="211D1E"/>
          <w:szCs w:val="18"/>
        </w:rPr>
        <w:t>a</w:t>
      </w:r>
      <w:r w:rsidRPr="003005DD">
        <w:rPr>
          <w:color w:val="211D1E"/>
          <w:szCs w:val="18"/>
        </w:rPr>
        <w:t>∕</w:t>
      </w:r>
      <w:r w:rsidRPr="003005DD">
        <w:rPr>
          <w:i/>
          <w:iCs/>
          <w:color w:val="211D1E"/>
          <w:szCs w:val="18"/>
        </w:rPr>
        <w:t xml:space="preserve">z </w:t>
      </w:r>
      <w:r w:rsidRPr="003005DD">
        <w:rPr>
          <w:color w:val="211D1E"/>
          <w:szCs w:val="18"/>
        </w:rPr>
        <w:t xml:space="preserve">and </w:t>
      </w:r>
      <w:r w:rsidRPr="003005DD">
        <w:rPr>
          <w:i/>
          <w:iCs/>
          <w:color w:val="211D1E"/>
          <w:szCs w:val="18"/>
        </w:rPr>
        <w:t xml:space="preserve">n </w:t>
      </w:r>
      <w:r w:rsidRPr="003005DD">
        <w:rPr>
          <w:color w:val="211D1E"/>
          <w:szCs w:val="18"/>
        </w:rPr>
        <w:t xml:space="preserve">= </w:t>
      </w:r>
      <w:r w:rsidRPr="003005DD">
        <w:rPr>
          <w:i/>
          <w:iCs/>
          <w:color w:val="211D1E"/>
          <w:szCs w:val="18"/>
        </w:rPr>
        <w:t>b</w:t>
      </w:r>
      <w:r w:rsidRPr="003005DD">
        <w:rPr>
          <w:color w:val="211D1E"/>
          <w:szCs w:val="18"/>
        </w:rPr>
        <w:t>∕</w:t>
      </w:r>
      <w:r w:rsidRPr="003005DD">
        <w:rPr>
          <w:i/>
          <w:iCs/>
          <w:color w:val="211D1E"/>
          <w:szCs w:val="18"/>
        </w:rPr>
        <w:t xml:space="preserve">z </w:t>
      </w:r>
      <w:r w:rsidRPr="003005DD">
        <w:rPr>
          <w:color w:val="211D1E"/>
          <w:szCs w:val="18"/>
        </w:rPr>
        <w:t xml:space="preserve">and </w:t>
      </w:r>
      <w:r w:rsidRPr="003005DD">
        <w:rPr>
          <w:i/>
          <w:iCs/>
          <w:color w:val="211D1E"/>
          <w:szCs w:val="18"/>
        </w:rPr>
        <w:t xml:space="preserve">a </w:t>
      </w:r>
      <w:r w:rsidRPr="003005DD">
        <w:rPr>
          <w:color w:val="211D1E"/>
          <w:szCs w:val="18"/>
        </w:rPr>
        <w:t xml:space="preserve">and </w:t>
      </w:r>
      <w:r w:rsidRPr="003005DD">
        <w:rPr>
          <w:i/>
          <w:iCs/>
          <w:color w:val="211D1E"/>
          <w:szCs w:val="18"/>
        </w:rPr>
        <w:t xml:space="preserve">b </w:t>
      </w:r>
      <w:r w:rsidRPr="003005DD">
        <w:rPr>
          <w:color w:val="211D1E"/>
          <w:szCs w:val="18"/>
        </w:rPr>
        <w:t xml:space="preserve">are defined in Fig. P17.16. The influence value is then tabulated, a portion of which is given in Table P17.16. If </w:t>
      </w:r>
      <w:r w:rsidRPr="003005DD">
        <w:rPr>
          <w:i/>
          <w:iCs/>
          <w:color w:val="211D1E"/>
          <w:szCs w:val="18"/>
        </w:rPr>
        <w:t xml:space="preserve">a </w:t>
      </w:r>
      <w:r w:rsidRPr="003005DD">
        <w:rPr>
          <w:color w:val="211D1E"/>
          <w:szCs w:val="18"/>
        </w:rPr>
        <w:t xml:space="preserve">= 4.6 and </w:t>
      </w:r>
      <w:r w:rsidRPr="003005DD">
        <w:rPr>
          <w:i/>
          <w:iCs/>
          <w:color w:val="211D1E"/>
          <w:szCs w:val="18"/>
        </w:rPr>
        <w:t xml:space="preserve">b </w:t>
      </w:r>
      <w:r w:rsidRPr="003005DD">
        <w:rPr>
          <w:color w:val="211D1E"/>
          <w:szCs w:val="18"/>
        </w:rPr>
        <w:t>= 14, use a third-order interpolating poly</w:t>
      </w:r>
      <w:r w:rsidRPr="003005DD">
        <w:rPr>
          <w:color w:val="211D1E"/>
          <w:szCs w:val="18"/>
        </w:rPr>
        <w:softHyphen/>
        <w:t xml:space="preserve">nomial to compute </w:t>
      </w:r>
      <w:r w:rsidRPr="003005DD">
        <w:rPr>
          <w:i/>
          <w:iCs/>
          <w:color w:val="211D1E"/>
          <w:szCs w:val="18"/>
        </w:rPr>
        <w:t>σ</w:t>
      </w:r>
      <w:r w:rsidRPr="003005DD">
        <w:rPr>
          <w:i/>
          <w:iCs/>
          <w:color w:val="211D1E"/>
          <w:sz w:val="32"/>
          <w:vertAlign w:val="subscript"/>
        </w:rPr>
        <w:t>z</w:t>
      </w:r>
      <w:r w:rsidRPr="003005DD">
        <w:rPr>
          <w:i/>
          <w:iCs/>
          <w:color w:val="211D1E"/>
        </w:rPr>
        <w:t xml:space="preserve"> </w:t>
      </w:r>
      <w:r w:rsidRPr="003005DD">
        <w:rPr>
          <w:color w:val="211D1E"/>
          <w:szCs w:val="18"/>
        </w:rPr>
        <w:t>at a depth 10 m below the cor</w:t>
      </w:r>
      <w:r w:rsidRPr="003005DD">
        <w:rPr>
          <w:color w:val="211D1E"/>
          <w:szCs w:val="18"/>
        </w:rPr>
        <w:softHyphen/>
        <w:t xml:space="preserve">ner of a rectangular footing that is subject to a total load of 100 t (metric tons). Express your answer in tonnes per square meter. Note that </w:t>
      </w:r>
      <w:r w:rsidRPr="003005DD">
        <w:rPr>
          <w:i/>
          <w:iCs/>
          <w:color w:val="211D1E"/>
          <w:szCs w:val="18"/>
        </w:rPr>
        <w:t xml:space="preserve">q </w:t>
      </w:r>
      <w:r w:rsidRPr="003005DD">
        <w:rPr>
          <w:color w:val="211D1E"/>
          <w:szCs w:val="18"/>
        </w:rPr>
        <w:t>is equal to the load per area.</w:t>
      </w:r>
    </w:p>
    <w:p w:rsidR="003005DD" w:rsidRPr="003005DD" w:rsidRDefault="003005DD" w:rsidP="003005DD">
      <w:pPr>
        <w:autoSpaceDE w:val="0"/>
        <w:autoSpaceDN w:val="0"/>
        <w:adjustRightInd w:val="0"/>
        <w:spacing w:after="0" w:line="240" w:lineRule="auto"/>
        <w:rPr>
          <w:rFonts w:ascii="STIX" w:hAnsi="STIX" w:cs="STIX"/>
          <w:color w:val="211D1E"/>
          <w:sz w:val="24"/>
          <w:szCs w:val="18"/>
        </w:rPr>
      </w:pPr>
    </w:p>
    <w:p w:rsidR="003005DD" w:rsidRPr="003005DD" w:rsidRDefault="003005DD" w:rsidP="003005DD">
      <w:pPr>
        <w:pStyle w:val="Default"/>
        <w:rPr>
          <w:b/>
        </w:rPr>
      </w:pPr>
      <w:r w:rsidRPr="003005DD">
        <w:rPr>
          <w:b/>
        </w:rPr>
        <w:t>Table P17.16</w:t>
      </w:r>
    </w:p>
    <w:tbl>
      <w:tblPr>
        <w:tblStyle w:val="TableGrid"/>
        <w:tblW w:w="0" w:type="auto"/>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58"/>
        <w:gridCol w:w="2062"/>
        <w:gridCol w:w="2062"/>
        <w:gridCol w:w="2062"/>
      </w:tblGrid>
      <w:tr w:rsidR="003005DD" w:rsidRPr="003005DD" w:rsidTr="003005DD">
        <w:trPr>
          <w:trHeight w:val="564"/>
        </w:trPr>
        <w:tc>
          <w:tcPr>
            <w:tcW w:w="2058" w:type="dxa"/>
          </w:tcPr>
          <w:p w:rsidR="003005DD" w:rsidRPr="003005DD" w:rsidRDefault="003005DD" w:rsidP="0018250E">
            <w:pPr>
              <w:pStyle w:val="Default"/>
              <w:spacing w:after="160" w:line="160" w:lineRule="atLeast"/>
              <w:rPr>
                <w:b/>
                <w:bCs/>
                <w:i/>
                <w:iCs/>
                <w:color w:val="211D1E"/>
                <w:szCs w:val="16"/>
              </w:rPr>
            </w:pPr>
            <w:r w:rsidRPr="003005DD">
              <w:rPr>
                <w:b/>
                <w:bCs/>
                <w:i/>
                <w:iCs/>
                <w:color w:val="211D1E"/>
                <w:szCs w:val="16"/>
              </w:rPr>
              <w:t>m</w:t>
            </w:r>
          </w:p>
        </w:tc>
        <w:tc>
          <w:tcPr>
            <w:tcW w:w="2062" w:type="dxa"/>
          </w:tcPr>
          <w:p w:rsidR="003005DD" w:rsidRPr="003005DD" w:rsidRDefault="003005DD" w:rsidP="0018250E">
            <w:pPr>
              <w:pStyle w:val="Default"/>
              <w:spacing w:after="160" w:line="160" w:lineRule="atLeast"/>
              <w:rPr>
                <w:b/>
                <w:bCs/>
                <w:color w:val="211D1E"/>
                <w:szCs w:val="16"/>
              </w:rPr>
            </w:pPr>
            <w:r w:rsidRPr="003005DD">
              <w:rPr>
                <w:b/>
                <w:bCs/>
                <w:i/>
                <w:iCs/>
                <w:color w:val="211D1E"/>
                <w:szCs w:val="16"/>
              </w:rPr>
              <w:t>n</w:t>
            </w:r>
            <w:r>
              <w:rPr>
                <w:b/>
                <w:bCs/>
                <w:i/>
                <w:iCs/>
                <w:color w:val="211D1E"/>
                <w:szCs w:val="16"/>
              </w:rPr>
              <w:t xml:space="preserve"> </w:t>
            </w:r>
            <w:r w:rsidRPr="003005DD">
              <w:rPr>
                <w:b/>
                <w:bCs/>
                <w:color w:val="211D1E"/>
                <w:szCs w:val="16"/>
              </w:rPr>
              <w:t>=1.2</w:t>
            </w:r>
          </w:p>
        </w:tc>
        <w:tc>
          <w:tcPr>
            <w:tcW w:w="2062" w:type="dxa"/>
          </w:tcPr>
          <w:p w:rsidR="003005DD" w:rsidRPr="003005DD" w:rsidRDefault="003005DD" w:rsidP="0018250E">
            <w:pPr>
              <w:pStyle w:val="Default"/>
              <w:spacing w:after="160" w:line="160" w:lineRule="atLeast"/>
              <w:rPr>
                <w:b/>
                <w:bCs/>
                <w:color w:val="211D1E"/>
                <w:szCs w:val="16"/>
              </w:rPr>
            </w:pPr>
            <w:r w:rsidRPr="003005DD">
              <w:rPr>
                <w:b/>
                <w:bCs/>
                <w:i/>
                <w:iCs/>
                <w:color w:val="211D1E"/>
                <w:szCs w:val="16"/>
              </w:rPr>
              <w:t>n</w:t>
            </w:r>
            <w:r w:rsidRPr="003005DD">
              <w:rPr>
                <w:b/>
                <w:bCs/>
                <w:color w:val="211D1E"/>
                <w:szCs w:val="16"/>
              </w:rPr>
              <w:t>=1.4</w:t>
            </w:r>
          </w:p>
        </w:tc>
        <w:tc>
          <w:tcPr>
            <w:tcW w:w="2062" w:type="dxa"/>
          </w:tcPr>
          <w:p w:rsidR="003005DD" w:rsidRPr="003005DD" w:rsidRDefault="003005DD" w:rsidP="0018250E">
            <w:pPr>
              <w:pStyle w:val="Default"/>
              <w:spacing w:after="160" w:line="160" w:lineRule="atLeast"/>
              <w:rPr>
                <w:color w:val="211D1E"/>
                <w:szCs w:val="16"/>
              </w:rPr>
            </w:pPr>
            <w:r w:rsidRPr="003005DD">
              <w:rPr>
                <w:b/>
                <w:bCs/>
                <w:i/>
                <w:iCs/>
                <w:color w:val="211D1E"/>
                <w:szCs w:val="16"/>
              </w:rPr>
              <w:t>n</w:t>
            </w:r>
            <w:r w:rsidRPr="003005DD">
              <w:rPr>
                <w:b/>
                <w:bCs/>
                <w:color w:val="211D1E"/>
                <w:szCs w:val="16"/>
              </w:rPr>
              <w:t>=1.6</w:t>
            </w:r>
          </w:p>
        </w:tc>
      </w:tr>
      <w:tr w:rsidR="003005DD" w:rsidRPr="003005DD" w:rsidTr="003005DD">
        <w:trPr>
          <w:trHeight w:val="366"/>
        </w:trPr>
        <w:tc>
          <w:tcPr>
            <w:tcW w:w="2058" w:type="dxa"/>
          </w:tcPr>
          <w:p w:rsidR="003005DD" w:rsidRPr="003005DD" w:rsidRDefault="003005DD" w:rsidP="0018250E">
            <w:pPr>
              <w:pStyle w:val="Pa15"/>
              <w:rPr>
                <w:color w:val="211D1E"/>
                <w:szCs w:val="16"/>
              </w:rPr>
            </w:pPr>
            <w:r w:rsidRPr="003005DD">
              <w:rPr>
                <w:color w:val="211D1E"/>
                <w:szCs w:val="16"/>
              </w:rPr>
              <w:t>0.1</w:t>
            </w:r>
          </w:p>
        </w:tc>
        <w:tc>
          <w:tcPr>
            <w:tcW w:w="2062" w:type="dxa"/>
          </w:tcPr>
          <w:p w:rsidR="003005DD" w:rsidRPr="003005DD" w:rsidRDefault="003005DD" w:rsidP="0018250E">
            <w:pPr>
              <w:pStyle w:val="Pa15"/>
              <w:rPr>
                <w:color w:val="211D1E"/>
                <w:szCs w:val="16"/>
              </w:rPr>
            </w:pPr>
            <w:r w:rsidRPr="003005DD">
              <w:rPr>
                <w:color w:val="211D1E"/>
                <w:szCs w:val="16"/>
              </w:rPr>
              <w:t>0.02926</w:t>
            </w:r>
          </w:p>
        </w:tc>
        <w:tc>
          <w:tcPr>
            <w:tcW w:w="2062" w:type="dxa"/>
          </w:tcPr>
          <w:p w:rsidR="003005DD" w:rsidRPr="003005DD" w:rsidRDefault="003005DD" w:rsidP="0018250E">
            <w:pPr>
              <w:pStyle w:val="Pa15"/>
              <w:rPr>
                <w:color w:val="211D1E"/>
                <w:szCs w:val="16"/>
              </w:rPr>
            </w:pPr>
            <w:r w:rsidRPr="003005DD">
              <w:rPr>
                <w:color w:val="211D1E"/>
                <w:szCs w:val="16"/>
              </w:rPr>
              <w:t>0.03007</w:t>
            </w:r>
          </w:p>
        </w:tc>
        <w:tc>
          <w:tcPr>
            <w:tcW w:w="2062" w:type="dxa"/>
          </w:tcPr>
          <w:p w:rsidR="003005DD" w:rsidRPr="003005DD" w:rsidRDefault="003005DD" w:rsidP="0018250E">
            <w:pPr>
              <w:pStyle w:val="Pa15"/>
              <w:rPr>
                <w:color w:val="211D1E"/>
                <w:szCs w:val="16"/>
              </w:rPr>
            </w:pPr>
            <w:r w:rsidRPr="003005DD">
              <w:rPr>
                <w:color w:val="211D1E"/>
                <w:szCs w:val="16"/>
              </w:rPr>
              <w:t>0.03058</w:t>
            </w:r>
          </w:p>
        </w:tc>
      </w:tr>
      <w:tr w:rsidR="003005DD" w:rsidRPr="003005DD" w:rsidTr="003005DD">
        <w:trPr>
          <w:trHeight w:val="366"/>
        </w:trPr>
        <w:tc>
          <w:tcPr>
            <w:tcW w:w="2058" w:type="dxa"/>
          </w:tcPr>
          <w:p w:rsidR="003005DD" w:rsidRPr="003005DD" w:rsidRDefault="003005DD" w:rsidP="0018250E">
            <w:pPr>
              <w:pStyle w:val="Pa15"/>
              <w:rPr>
                <w:color w:val="211D1E"/>
                <w:szCs w:val="16"/>
              </w:rPr>
            </w:pPr>
            <w:r w:rsidRPr="003005DD">
              <w:rPr>
                <w:color w:val="211D1E"/>
                <w:szCs w:val="16"/>
              </w:rPr>
              <w:t>0.2</w:t>
            </w:r>
          </w:p>
        </w:tc>
        <w:tc>
          <w:tcPr>
            <w:tcW w:w="2062" w:type="dxa"/>
          </w:tcPr>
          <w:p w:rsidR="003005DD" w:rsidRPr="003005DD" w:rsidRDefault="003005DD" w:rsidP="0018250E">
            <w:pPr>
              <w:pStyle w:val="Pa15"/>
              <w:rPr>
                <w:color w:val="211D1E"/>
                <w:szCs w:val="16"/>
              </w:rPr>
            </w:pPr>
            <w:r w:rsidRPr="003005DD">
              <w:rPr>
                <w:color w:val="211D1E"/>
                <w:szCs w:val="16"/>
              </w:rPr>
              <w:t>0.05733</w:t>
            </w:r>
          </w:p>
        </w:tc>
        <w:tc>
          <w:tcPr>
            <w:tcW w:w="2062" w:type="dxa"/>
          </w:tcPr>
          <w:p w:rsidR="003005DD" w:rsidRPr="003005DD" w:rsidRDefault="003005DD" w:rsidP="0018250E">
            <w:pPr>
              <w:pStyle w:val="Pa15"/>
              <w:rPr>
                <w:color w:val="211D1E"/>
                <w:szCs w:val="16"/>
              </w:rPr>
            </w:pPr>
            <w:r w:rsidRPr="003005DD">
              <w:rPr>
                <w:color w:val="211D1E"/>
                <w:szCs w:val="16"/>
              </w:rPr>
              <w:t>0.05894</w:t>
            </w:r>
          </w:p>
        </w:tc>
        <w:tc>
          <w:tcPr>
            <w:tcW w:w="2062" w:type="dxa"/>
          </w:tcPr>
          <w:p w:rsidR="003005DD" w:rsidRPr="003005DD" w:rsidRDefault="003005DD" w:rsidP="0018250E">
            <w:pPr>
              <w:pStyle w:val="Pa15"/>
              <w:rPr>
                <w:color w:val="211D1E"/>
                <w:szCs w:val="16"/>
              </w:rPr>
            </w:pPr>
            <w:r w:rsidRPr="003005DD">
              <w:rPr>
                <w:color w:val="211D1E"/>
                <w:szCs w:val="16"/>
              </w:rPr>
              <w:t>0.05994</w:t>
            </w:r>
          </w:p>
        </w:tc>
      </w:tr>
      <w:tr w:rsidR="003005DD" w:rsidRPr="003005DD" w:rsidTr="003005DD">
        <w:trPr>
          <w:trHeight w:val="366"/>
        </w:trPr>
        <w:tc>
          <w:tcPr>
            <w:tcW w:w="2058" w:type="dxa"/>
          </w:tcPr>
          <w:p w:rsidR="003005DD" w:rsidRPr="003005DD" w:rsidRDefault="003005DD" w:rsidP="0018250E">
            <w:pPr>
              <w:pStyle w:val="Pa15"/>
              <w:rPr>
                <w:color w:val="211D1E"/>
                <w:szCs w:val="16"/>
              </w:rPr>
            </w:pPr>
            <w:r w:rsidRPr="003005DD">
              <w:rPr>
                <w:color w:val="211D1E"/>
                <w:szCs w:val="16"/>
              </w:rPr>
              <w:t>0.3</w:t>
            </w:r>
          </w:p>
        </w:tc>
        <w:tc>
          <w:tcPr>
            <w:tcW w:w="2062" w:type="dxa"/>
          </w:tcPr>
          <w:p w:rsidR="003005DD" w:rsidRPr="003005DD" w:rsidRDefault="003005DD" w:rsidP="0018250E">
            <w:pPr>
              <w:pStyle w:val="Pa15"/>
              <w:rPr>
                <w:color w:val="211D1E"/>
                <w:szCs w:val="16"/>
              </w:rPr>
            </w:pPr>
            <w:r w:rsidRPr="003005DD">
              <w:rPr>
                <w:color w:val="211D1E"/>
                <w:szCs w:val="16"/>
              </w:rPr>
              <w:t>0.08323</w:t>
            </w:r>
          </w:p>
        </w:tc>
        <w:tc>
          <w:tcPr>
            <w:tcW w:w="2062" w:type="dxa"/>
          </w:tcPr>
          <w:p w:rsidR="003005DD" w:rsidRPr="003005DD" w:rsidRDefault="003005DD" w:rsidP="0018250E">
            <w:pPr>
              <w:pStyle w:val="Pa15"/>
              <w:rPr>
                <w:color w:val="211D1E"/>
                <w:szCs w:val="16"/>
              </w:rPr>
            </w:pPr>
            <w:r w:rsidRPr="003005DD">
              <w:rPr>
                <w:color w:val="211D1E"/>
                <w:szCs w:val="16"/>
              </w:rPr>
              <w:t>0.08561</w:t>
            </w:r>
          </w:p>
        </w:tc>
        <w:tc>
          <w:tcPr>
            <w:tcW w:w="2062" w:type="dxa"/>
          </w:tcPr>
          <w:p w:rsidR="003005DD" w:rsidRPr="003005DD" w:rsidRDefault="003005DD" w:rsidP="0018250E">
            <w:pPr>
              <w:pStyle w:val="Pa15"/>
              <w:rPr>
                <w:color w:val="211D1E"/>
                <w:szCs w:val="16"/>
              </w:rPr>
            </w:pPr>
            <w:r w:rsidRPr="003005DD">
              <w:rPr>
                <w:color w:val="211D1E"/>
                <w:szCs w:val="16"/>
              </w:rPr>
              <w:t>0.08709</w:t>
            </w:r>
          </w:p>
        </w:tc>
      </w:tr>
      <w:tr w:rsidR="003005DD" w:rsidRPr="003005DD" w:rsidTr="003005DD">
        <w:trPr>
          <w:trHeight w:val="366"/>
        </w:trPr>
        <w:tc>
          <w:tcPr>
            <w:tcW w:w="2058" w:type="dxa"/>
          </w:tcPr>
          <w:p w:rsidR="003005DD" w:rsidRPr="003005DD" w:rsidRDefault="003005DD" w:rsidP="0018250E">
            <w:pPr>
              <w:pStyle w:val="Pa15"/>
              <w:rPr>
                <w:color w:val="211D1E"/>
                <w:szCs w:val="16"/>
              </w:rPr>
            </w:pPr>
            <w:r w:rsidRPr="003005DD">
              <w:rPr>
                <w:color w:val="211D1E"/>
                <w:szCs w:val="16"/>
              </w:rPr>
              <w:t>0.4</w:t>
            </w:r>
          </w:p>
        </w:tc>
        <w:tc>
          <w:tcPr>
            <w:tcW w:w="2062" w:type="dxa"/>
          </w:tcPr>
          <w:p w:rsidR="003005DD" w:rsidRPr="003005DD" w:rsidRDefault="003005DD" w:rsidP="0018250E">
            <w:pPr>
              <w:pStyle w:val="Pa15"/>
              <w:rPr>
                <w:color w:val="211D1E"/>
                <w:szCs w:val="16"/>
              </w:rPr>
            </w:pPr>
            <w:r w:rsidRPr="003005DD">
              <w:rPr>
                <w:color w:val="211D1E"/>
                <w:szCs w:val="16"/>
              </w:rPr>
              <w:t>0.10631</w:t>
            </w:r>
          </w:p>
        </w:tc>
        <w:tc>
          <w:tcPr>
            <w:tcW w:w="2062" w:type="dxa"/>
          </w:tcPr>
          <w:p w:rsidR="003005DD" w:rsidRPr="003005DD" w:rsidRDefault="003005DD" w:rsidP="0018250E">
            <w:pPr>
              <w:pStyle w:val="Pa15"/>
              <w:rPr>
                <w:color w:val="211D1E"/>
                <w:szCs w:val="16"/>
              </w:rPr>
            </w:pPr>
            <w:r w:rsidRPr="003005DD">
              <w:rPr>
                <w:color w:val="211D1E"/>
                <w:szCs w:val="16"/>
              </w:rPr>
              <w:t>0.10941</w:t>
            </w:r>
          </w:p>
        </w:tc>
        <w:tc>
          <w:tcPr>
            <w:tcW w:w="2062" w:type="dxa"/>
          </w:tcPr>
          <w:p w:rsidR="003005DD" w:rsidRPr="003005DD" w:rsidRDefault="003005DD" w:rsidP="0018250E">
            <w:pPr>
              <w:pStyle w:val="Pa15"/>
              <w:rPr>
                <w:color w:val="211D1E"/>
                <w:szCs w:val="16"/>
              </w:rPr>
            </w:pPr>
            <w:r w:rsidRPr="003005DD">
              <w:rPr>
                <w:color w:val="211D1E"/>
                <w:szCs w:val="16"/>
              </w:rPr>
              <w:t>0.11135</w:t>
            </w:r>
          </w:p>
        </w:tc>
      </w:tr>
      <w:tr w:rsidR="003005DD" w:rsidRPr="003005DD" w:rsidTr="003005DD">
        <w:trPr>
          <w:trHeight w:val="366"/>
        </w:trPr>
        <w:tc>
          <w:tcPr>
            <w:tcW w:w="2058" w:type="dxa"/>
          </w:tcPr>
          <w:p w:rsidR="003005DD" w:rsidRPr="003005DD" w:rsidRDefault="003005DD" w:rsidP="0018250E">
            <w:pPr>
              <w:pStyle w:val="Pa15"/>
              <w:rPr>
                <w:color w:val="211D1E"/>
                <w:szCs w:val="16"/>
              </w:rPr>
            </w:pPr>
            <w:r w:rsidRPr="003005DD">
              <w:rPr>
                <w:color w:val="211D1E"/>
                <w:szCs w:val="16"/>
              </w:rPr>
              <w:t>0.5</w:t>
            </w:r>
          </w:p>
        </w:tc>
        <w:tc>
          <w:tcPr>
            <w:tcW w:w="2062" w:type="dxa"/>
          </w:tcPr>
          <w:p w:rsidR="003005DD" w:rsidRPr="003005DD" w:rsidRDefault="003005DD" w:rsidP="0018250E">
            <w:pPr>
              <w:pStyle w:val="Pa15"/>
              <w:rPr>
                <w:color w:val="211D1E"/>
                <w:szCs w:val="16"/>
              </w:rPr>
            </w:pPr>
            <w:r w:rsidRPr="003005DD">
              <w:rPr>
                <w:color w:val="211D1E"/>
                <w:szCs w:val="16"/>
              </w:rPr>
              <w:t>0.12626</w:t>
            </w:r>
          </w:p>
        </w:tc>
        <w:tc>
          <w:tcPr>
            <w:tcW w:w="2062" w:type="dxa"/>
          </w:tcPr>
          <w:p w:rsidR="003005DD" w:rsidRPr="003005DD" w:rsidRDefault="003005DD" w:rsidP="0018250E">
            <w:pPr>
              <w:pStyle w:val="Pa15"/>
              <w:rPr>
                <w:color w:val="211D1E"/>
                <w:szCs w:val="16"/>
              </w:rPr>
            </w:pPr>
            <w:r w:rsidRPr="003005DD">
              <w:rPr>
                <w:color w:val="211D1E"/>
                <w:szCs w:val="16"/>
              </w:rPr>
              <w:t>0.13003</w:t>
            </w:r>
          </w:p>
        </w:tc>
        <w:tc>
          <w:tcPr>
            <w:tcW w:w="2062" w:type="dxa"/>
          </w:tcPr>
          <w:p w:rsidR="003005DD" w:rsidRPr="003005DD" w:rsidRDefault="003005DD" w:rsidP="0018250E">
            <w:pPr>
              <w:pStyle w:val="Pa15"/>
              <w:rPr>
                <w:color w:val="211D1E"/>
                <w:szCs w:val="16"/>
              </w:rPr>
            </w:pPr>
            <w:r w:rsidRPr="003005DD">
              <w:rPr>
                <w:color w:val="211D1E"/>
                <w:szCs w:val="16"/>
              </w:rPr>
              <w:t>0.13241</w:t>
            </w:r>
          </w:p>
        </w:tc>
      </w:tr>
      <w:tr w:rsidR="003005DD" w:rsidRPr="003005DD" w:rsidTr="003005DD">
        <w:trPr>
          <w:trHeight w:val="366"/>
        </w:trPr>
        <w:tc>
          <w:tcPr>
            <w:tcW w:w="2058" w:type="dxa"/>
          </w:tcPr>
          <w:p w:rsidR="003005DD" w:rsidRPr="003005DD" w:rsidRDefault="003005DD" w:rsidP="0018250E">
            <w:pPr>
              <w:pStyle w:val="Pa15"/>
              <w:rPr>
                <w:color w:val="211D1E"/>
                <w:szCs w:val="16"/>
              </w:rPr>
            </w:pPr>
            <w:r w:rsidRPr="003005DD">
              <w:rPr>
                <w:color w:val="211D1E"/>
                <w:szCs w:val="16"/>
              </w:rPr>
              <w:t>0.6</w:t>
            </w:r>
          </w:p>
        </w:tc>
        <w:tc>
          <w:tcPr>
            <w:tcW w:w="2062" w:type="dxa"/>
          </w:tcPr>
          <w:p w:rsidR="003005DD" w:rsidRPr="003005DD" w:rsidRDefault="003005DD" w:rsidP="0018250E">
            <w:pPr>
              <w:pStyle w:val="Pa15"/>
              <w:rPr>
                <w:color w:val="211D1E"/>
                <w:szCs w:val="16"/>
              </w:rPr>
            </w:pPr>
            <w:r w:rsidRPr="003005DD">
              <w:rPr>
                <w:color w:val="211D1E"/>
                <w:szCs w:val="16"/>
              </w:rPr>
              <w:t>0.14309</w:t>
            </w:r>
          </w:p>
        </w:tc>
        <w:tc>
          <w:tcPr>
            <w:tcW w:w="2062" w:type="dxa"/>
          </w:tcPr>
          <w:p w:rsidR="003005DD" w:rsidRPr="003005DD" w:rsidRDefault="003005DD" w:rsidP="0018250E">
            <w:pPr>
              <w:pStyle w:val="Pa15"/>
              <w:rPr>
                <w:color w:val="211D1E"/>
                <w:szCs w:val="16"/>
              </w:rPr>
            </w:pPr>
            <w:r w:rsidRPr="003005DD">
              <w:rPr>
                <w:color w:val="211D1E"/>
                <w:szCs w:val="16"/>
              </w:rPr>
              <w:t>0.14749</w:t>
            </w:r>
          </w:p>
        </w:tc>
        <w:tc>
          <w:tcPr>
            <w:tcW w:w="2062" w:type="dxa"/>
          </w:tcPr>
          <w:p w:rsidR="003005DD" w:rsidRPr="003005DD" w:rsidRDefault="003005DD" w:rsidP="0018250E">
            <w:pPr>
              <w:pStyle w:val="Pa15"/>
              <w:rPr>
                <w:color w:val="211D1E"/>
                <w:szCs w:val="16"/>
              </w:rPr>
            </w:pPr>
            <w:r w:rsidRPr="003005DD">
              <w:rPr>
                <w:color w:val="211D1E"/>
                <w:szCs w:val="16"/>
              </w:rPr>
              <w:t>0.15027</w:t>
            </w:r>
          </w:p>
        </w:tc>
      </w:tr>
      <w:tr w:rsidR="003005DD" w:rsidRPr="003005DD" w:rsidTr="003005DD">
        <w:trPr>
          <w:trHeight w:val="366"/>
        </w:trPr>
        <w:tc>
          <w:tcPr>
            <w:tcW w:w="2058" w:type="dxa"/>
          </w:tcPr>
          <w:p w:rsidR="003005DD" w:rsidRPr="003005DD" w:rsidRDefault="003005DD" w:rsidP="0018250E">
            <w:pPr>
              <w:pStyle w:val="Pa15"/>
              <w:rPr>
                <w:color w:val="211D1E"/>
                <w:szCs w:val="16"/>
              </w:rPr>
            </w:pPr>
            <w:r w:rsidRPr="003005DD">
              <w:rPr>
                <w:color w:val="211D1E"/>
                <w:szCs w:val="16"/>
              </w:rPr>
              <w:t>0.7</w:t>
            </w:r>
          </w:p>
        </w:tc>
        <w:tc>
          <w:tcPr>
            <w:tcW w:w="2062" w:type="dxa"/>
          </w:tcPr>
          <w:p w:rsidR="003005DD" w:rsidRPr="003005DD" w:rsidRDefault="003005DD" w:rsidP="0018250E">
            <w:pPr>
              <w:pStyle w:val="Pa15"/>
              <w:rPr>
                <w:color w:val="211D1E"/>
                <w:szCs w:val="16"/>
              </w:rPr>
            </w:pPr>
            <w:r w:rsidRPr="003005DD">
              <w:rPr>
                <w:color w:val="211D1E"/>
                <w:szCs w:val="16"/>
              </w:rPr>
              <w:t>0.15703</w:t>
            </w:r>
          </w:p>
        </w:tc>
        <w:tc>
          <w:tcPr>
            <w:tcW w:w="2062" w:type="dxa"/>
          </w:tcPr>
          <w:p w:rsidR="003005DD" w:rsidRPr="003005DD" w:rsidRDefault="003005DD" w:rsidP="0018250E">
            <w:pPr>
              <w:pStyle w:val="Pa15"/>
              <w:rPr>
                <w:color w:val="211D1E"/>
                <w:szCs w:val="16"/>
              </w:rPr>
            </w:pPr>
            <w:r w:rsidRPr="003005DD">
              <w:rPr>
                <w:color w:val="211D1E"/>
                <w:szCs w:val="16"/>
              </w:rPr>
              <w:t>0.16199</w:t>
            </w:r>
          </w:p>
        </w:tc>
        <w:tc>
          <w:tcPr>
            <w:tcW w:w="2062" w:type="dxa"/>
          </w:tcPr>
          <w:p w:rsidR="003005DD" w:rsidRPr="003005DD" w:rsidRDefault="003005DD" w:rsidP="0018250E">
            <w:pPr>
              <w:pStyle w:val="Pa15"/>
              <w:rPr>
                <w:color w:val="211D1E"/>
                <w:szCs w:val="16"/>
              </w:rPr>
            </w:pPr>
            <w:r w:rsidRPr="003005DD">
              <w:rPr>
                <w:color w:val="211D1E"/>
                <w:szCs w:val="16"/>
              </w:rPr>
              <w:t>0.16515</w:t>
            </w:r>
          </w:p>
        </w:tc>
      </w:tr>
      <w:tr w:rsidR="003005DD" w:rsidRPr="003005DD" w:rsidTr="003005DD">
        <w:trPr>
          <w:trHeight w:val="381"/>
        </w:trPr>
        <w:tc>
          <w:tcPr>
            <w:tcW w:w="2058" w:type="dxa"/>
          </w:tcPr>
          <w:p w:rsidR="003005DD" w:rsidRPr="003005DD" w:rsidRDefault="003005DD" w:rsidP="0018250E">
            <w:pPr>
              <w:autoSpaceDE w:val="0"/>
              <w:autoSpaceDN w:val="0"/>
              <w:adjustRightInd w:val="0"/>
              <w:spacing w:after="0" w:line="240" w:lineRule="auto"/>
              <w:rPr>
                <w:rFonts w:ascii="STIX" w:hAnsi="STIX" w:cs="STIX"/>
                <w:color w:val="211D1E"/>
                <w:sz w:val="24"/>
                <w:szCs w:val="16"/>
              </w:rPr>
            </w:pPr>
            <w:r w:rsidRPr="003005DD">
              <w:rPr>
                <w:rFonts w:ascii="STIX" w:hAnsi="STIX" w:cs="STIX"/>
                <w:color w:val="211D1E"/>
                <w:sz w:val="24"/>
                <w:szCs w:val="16"/>
              </w:rPr>
              <w:t>0.8</w:t>
            </w:r>
          </w:p>
        </w:tc>
        <w:tc>
          <w:tcPr>
            <w:tcW w:w="2062" w:type="dxa"/>
          </w:tcPr>
          <w:p w:rsidR="003005DD" w:rsidRPr="003005DD" w:rsidRDefault="003005DD" w:rsidP="0018250E">
            <w:pPr>
              <w:autoSpaceDE w:val="0"/>
              <w:autoSpaceDN w:val="0"/>
              <w:adjustRightInd w:val="0"/>
              <w:spacing w:after="0" w:line="240" w:lineRule="auto"/>
              <w:rPr>
                <w:rFonts w:ascii="STIX" w:hAnsi="STIX" w:cs="STIX"/>
                <w:color w:val="211D1E"/>
                <w:sz w:val="24"/>
                <w:szCs w:val="16"/>
              </w:rPr>
            </w:pPr>
            <w:r w:rsidRPr="003005DD">
              <w:rPr>
                <w:rFonts w:ascii="STIX" w:hAnsi="STIX" w:cs="STIX"/>
                <w:color w:val="211D1E"/>
                <w:sz w:val="24"/>
                <w:szCs w:val="16"/>
              </w:rPr>
              <w:t>0.16843</w:t>
            </w:r>
          </w:p>
        </w:tc>
        <w:tc>
          <w:tcPr>
            <w:tcW w:w="2062" w:type="dxa"/>
          </w:tcPr>
          <w:p w:rsidR="003005DD" w:rsidRPr="003005DD" w:rsidRDefault="003005DD" w:rsidP="0018250E">
            <w:pPr>
              <w:autoSpaceDE w:val="0"/>
              <w:autoSpaceDN w:val="0"/>
              <w:adjustRightInd w:val="0"/>
              <w:spacing w:after="0" w:line="240" w:lineRule="auto"/>
              <w:rPr>
                <w:rFonts w:ascii="STIX" w:hAnsi="STIX" w:cs="STIX"/>
                <w:color w:val="211D1E"/>
                <w:sz w:val="24"/>
                <w:szCs w:val="16"/>
              </w:rPr>
            </w:pPr>
            <w:r w:rsidRPr="003005DD">
              <w:rPr>
                <w:rFonts w:ascii="STIX" w:hAnsi="STIX" w:cs="STIX"/>
                <w:color w:val="211D1E"/>
                <w:sz w:val="24"/>
                <w:szCs w:val="16"/>
              </w:rPr>
              <w:t>0.17389</w:t>
            </w:r>
          </w:p>
        </w:tc>
        <w:tc>
          <w:tcPr>
            <w:tcW w:w="2062" w:type="dxa"/>
          </w:tcPr>
          <w:p w:rsidR="003005DD" w:rsidRPr="003005DD" w:rsidRDefault="003005DD" w:rsidP="0018250E">
            <w:pPr>
              <w:autoSpaceDE w:val="0"/>
              <w:autoSpaceDN w:val="0"/>
              <w:adjustRightInd w:val="0"/>
              <w:spacing w:after="0" w:line="240" w:lineRule="auto"/>
              <w:rPr>
                <w:rFonts w:ascii="STIX" w:hAnsi="STIX" w:cs="STIX"/>
                <w:sz w:val="24"/>
              </w:rPr>
            </w:pPr>
            <w:r w:rsidRPr="003005DD">
              <w:rPr>
                <w:rFonts w:ascii="STIX" w:hAnsi="STIX" w:cs="STIX"/>
                <w:color w:val="211D1E"/>
                <w:sz w:val="24"/>
                <w:szCs w:val="16"/>
              </w:rPr>
              <w:t>0.17739</w:t>
            </w:r>
          </w:p>
        </w:tc>
      </w:tr>
    </w:tbl>
    <w:p w:rsidR="003005DD" w:rsidRPr="003005DD" w:rsidRDefault="003005DD" w:rsidP="003005DD">
      <w:pPr>
        <w:autoSpaceDE w:val="0"/>
        <w:autoSpaceDN w:val="0"/>
        <w:adjustRightInd w:val="0"/>
        <w:spacing w:after="0" w:line="240" w:lineRule="auto"/>
        <w:rPr>
          <w:rFonts w:ascii="STIX" w:hAnsi="STIX" w:cs="STIX"/>
          <w:sz w:val="24"/>
        </w:rPr>
      </w:pPr>
    </w:p>
    <w:sectPr w:rsidR="003005DD" w:rsidRPr="003005DD" w:rsidSect="00D81807">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2017-03-19T19:23:00Z</dcterms:created>
  <dcterms:modified xsi:type="dcterms:W3CDTF">2017-03-19T19:23:00Z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