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87964" w:rsidRDefault="00512B6C" w:rsidP="00E87964">
      <w:pPr>
        <w:pStyle w:val="Default"/>
        <w:rPr>
          <w:b/>
        </w:rPr>
      </w:pPr>
      <w:r w:rsidRPr="00E87964">
        <w:rPr>
          <w:b/>
        </w:rPr>
        <w:t xml:space="preserve">Problem </w:t>
      </w:r>
      <w:r w:rsidR="001D3DC1" w:rsidRPr="00E87964">
        <w:rPr>
          <w:b/>
        </w:rPr>
        <w:t>1</w:t>
      </w:r>
      <w:r w:rsidR="00211E9D" w:rsidRPr="00E87964">
        <w:rPr>
          <w:b/>
        </w:rPr>
        <w:t>8.</w:t>
      </w:r>
      <w:r w:rsidR="0089415A">
        <w:rPr>
          <w:b/>
        </w:rPr>
        <w:t>2</w:t>
      </w:r>
    </w:p>
    <w:p w:rsidR="00E87964" w:rsidRPr="00E87964" w:rsidRDefault="00E87964" w:rsidP="00E87964">
      <w:pPr>
        <w:autoSpaceDE w:val="0"/>
        <w:autoSpaceDN w:val="0"/>
        <w:adjustRightInd w:val="0"/>
        <w:spacing w:after="0" w:line="240" w:lineRule="auto"/>
        <w:rPr>
          <w:rFonts w:ascii="STIX" w:hAnsi="STIX" w:cs="STIX"/>
          <w:color w:val="000000"/>
          <w:sz w:val="24"/>
          <w:szCs w:val="24"/>
        </w:rPr>
      </w:pPr>
    </w:p>
    <w:p w:rsidR="00E87964" w:rsidRPr="00E87964" w:rsidRDefault="00E87964" w:rsidP="00E87964">
      <w:pPr>
        <w:autoSpaceDE w:val="0"/>
        <w:autoSpaceDN w:val="0"/>
        <w:adjustRightInd w:val="0"/>
        <w:spacing w:after="0" w:line="180" w:lineRule="atLeast"/>
        <w:rPr>
          <w:rFonts w:ascii="STIX" w:hAnsi="STIX" w:cs="STIX"/>
          <w:color w:val="211D1E"/>
          <w:sz w:val="24"/>
          <w:szCs w:val="18"/>
        </w:rPr>
      </w:pPr>
      <w:r w:rsidRPr="00E87964">
        <w:rPr>
          <w:rFonts w:ascii="STIX" w:hAnsi="STIX" w:cs="STIX"/>
          <w:color w:val="211D1E"/>
          <w:sz w:val="24"/>
          <w:szCs w:val="18"/>
        </w:rPr>
        <w:t xml:space="preserve">A reactor is thermally stratified as in the following table: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905"/>
        <w:gridCol w:w="840"/>
        <w:gridCol w:w="849"/>
        <w:gridCol w:w="840"/>
        <w:gridCol w:w="849"/>
        <w:gridCol w:w="840"/>
        <w:gridCol w:w="849"/>
        <w:gridCol w:w="840"/>
      </w:tblGrid>
      <w:tr w:rsidR="00E87964" w:rsidRPr="00E87964" w:rsidTr="00E87964">
        <w:trPr>
          <w:trHeight w:val="803"/>
        </w:trPr>
        <w:tc>
          <w:tcPr>
            <w:tcW w:w="1668" w:type="dxa"/>
          </w:tcPr>
          <w:p w:rsidR="00E87964" w:rsidRPr="00E87964" w:rsidRDefault="00E87964" w:rsidP="009F4ACA">
            <w:pPr>
              <w:autoSpaceDE w:val="0"/>
              <w:autoSpaceDN w:val="0"/>
              <w:adjustRightInd w:val="0"/>
              <w:spacing w:before="440" w:after="40" w:line="160" w:lineRule="atLeast"/>
              <w:rPr>
                <w:rFonts w:ascii="STIX" w:hAnsi="STIX" w:cs="STIX"/>
                <w:b/>
                <w:bCs/>
                <w:color w:val="211D1E"/>
                <w:sz w:val="24"/>
                <w:szCs w:val="16"/>
              </w:rPr>
            </w:pPr>
            <w:r w:rsidRPr="00E87964">
              <w:rPr>
                <w:rFonts w:ascii="STIX" w:hAnsi="STIX" w:cs="STIX"/>
                <w:b/>
                <w:bCs/>
                <w:color w:val="211D1E"/>
                <w:sz w:val="24"/>
                <w:szCs w:val="16"/>
              </w:rPr>
              <w:t>Depth,</w:t>
            </w:r>
            <w:r>
              <w:rPr>
                <w:rFonts w:ascii="STIX" w:hAnsi="STIX" w:cs="STIX"/>
                <w:b/>
                <w:bCs/>
                <w:color w:val="211D1E"/>
                <w:sz w:val="24"/>
                <w:szCs w:val="16"/>
              </w:rPr>
              <w:t xml:space="preserve"> </w:t>
            </w:r>
            <w:r w:rsidRPr="00E87964">
              <w:rPr>
                <w:rFonts w:ascii="STIX" w:hAnsi="STIX" w:cs="STIX"/>
                <w:b/>
                <w:bCs/>
                <w:color w:val="211D1E"/>
                <w:sz w:val="24"/>
                <w:szCs w:val="16"/>
              </w:rPr>
              <w:t>m</w:t>
            </w:r>
          </w:p>
        </w:tc>
        <w:tc>
          <w:tcPr>
            <w:tcW w:w="840" w:type="dxa"/>
          </w:tcPr>
          <w:p w:rsidR="00E87964" w:rsidRPr="00E87964" w:rsidRDefault="00E87964" w:rsidP="009F4ACA">
            <w:pPr>
              <w:autoSpaceDE w:val="0"/>
              <w:autoSpaceDN w:val="0"/>
              <w:adjustRightInd w:val="0"/>
              <w:spacing w:before="440" w:after="40" w:line="160" w:lineRule="atLeast"/>
              <w:rPr>
                <w:rFonts w:ascii="STIX" w:hAnsi="STIX" w:cs="STIX"/>
                <w:color w:val="211D1E"/>
                <w:sz w:val="24"/>
                <w:szCs w:val="16"/>
              </w:rPr>
            </w:pPr>
            <w:r w:rsidRPr="00E87964">
              <w:rPr>
                <w:rFonts w:ascii="STIX" w:hAnsi="STIX" w:cs="STIX"/>
                <w:color w:val="211D1E"/>
                <w:sz w:val="24"/>
                <w:szCs w:val="16"/>
              </w:rPr>
              <w:t>0</w:t>
            </w:r>
          </w:p>
        </w:tc>
        <w:tc>
          <w:tcPr>
            <w:tcW w:w="849" w:type="dxa"/>
          </w:tcPr>
          <w:p w:rsidR="00E87964" w:rsidRPr="00E87964" w:rsidRDefault="00E87964" w:rsidP="009F4ACA">
            <w:pPr>
              <w:autoSpaceDE w:val="0"/>
              <w:autoSpaceDN w:val="0"/>
              <w:adjustRightInd w:val="0"/>
              <w:spacing w:before="440" w:after="40" w:line="160" w:lineRule="atLeast"/>
              <w:rPr>
                <w:rFonts w:ascii="STIX" w:hAnsi="STIX" w:cs="STIX"/>
                <w:color w:val="211D1E"/>
                <w:sz w:val="24"/>
                <w:szCs w:val="16"/>
              </w:rPr>
            </w:pPr>
            <w:r w:rsidRPr="00E87964">
              <w:rPr>
                <w:rFonts w:ascii="STIX" w:hAnsi="STIX" w:cs="STIX"/>
                <w:color w:val="211D1E"/>
                <w:sz w:val="24"/>
                <w:szCs w:val="16"/>
              </w:rPr>
              <w:t>0.5</w:t>
            </w:r>
          </w:p>
        </w:tc>
        <w:tc>
          <w:tcPr>
            <w:tcW w:w="840" w:type="dxa"/>
          </w:tcPr>
          <w:p w:rsidR="00E87964" w:rsidRPr="00E87964" w:rsidRDefault="00E87964" w:rsidP="009F4ACA">
            <w:pPr>
              <w:autoSpaceDE w:val="0"/>
              <w:autoSpaceDN w:val="0"/>
              <w:adjustRightInd w:val="0"/>
              <w:spacing w:before="440" w:after="40" w:line="160" w:lineRule="atLeast"/>
              <w:rPr>
                <w:rFonts w:ascii="STIX" w:hAnsi="STIX" w:cs="STIX"/>
                <w:color w:val="211D1E"/>
                <w:sz w:val="24"/>
                <w:szCs w:val="16"/>
              </w:rPr>
            </w:pPr>
            <w:r w:rsidRPr="00E87964">
              <w:rPr>
                <w:rFonts w:ascii="STIX" w:hAnsi="STIX" w:cs="STIX"/>
                <w:color w:val="211D1E"/>
                <w:sz w:val="24"/>
                <w:szCs w:val="16"/>
              </w:rPr>
              <w:t>1</w:t>
            </w:r>
          </w:p>
        </w:tc>
        <w:tc>
          <w:tcPr>
            <w:tcW w:w="849" w:type="dxa"/>
          </w:tcPr>
          <w:p w:rsidR="00E87964" w:rsidRPr="00E87964" w:rsidRDefault="00E87964" w:rsidP="009F4ACA">
            <w:pPr>
              <w:autoSpaceDE w:val="0"/>
              <w:autoSpaceDN w:val="0"/>
              <w:adjustRightInd w:val="0"/>
              <w:spacing w:before="440" w:after="40" w:line="160" w:lineRule="atLeast"/>
              <w:rPr>
                <w:rFonts w:ascii="STIX" w:hAnsi="STIX" w:cs="STIX"/>
                <w:color w:val="211D1E"/>
                <w:sz w:val="24"/>
                <w:szCs w:val="16"/>
              </w:rPr>
            </w:pPr>
            <w:r w:rsidRPr="00E87964">
              <w:rPr>
                <w:rFonts w:ascii="STIX" w:hAnsi="STIX" w:cs="STIX"/>
                <w:color w:val="211D1E"/>
                <w:sz w:val="24"/>
                <w:szCs w:val="16"/>
              </w:rPr>
              <w:t>1.5</w:t>
            </w:r>
          </w:p>
        </w:tc>
        <w:tc>
          <w:tcPr>
            <w:tcW w:w="840" w:type="dxa"/>
          </w:tcPr>
          <w:p w:rsidR="00E87964" w:rsidRPr="00E87964" w:rsidRDefault="00E87964" w:rsidP="009F4ACA">
            <w:pPr>
              <w:autoSpaceDE w:val="0"/>
              <w:autoSpaceDN w:val="0"/>
              <w:adjustRightInd w:val="0"/>
              <w:spacing w:before="440" w:after="40" w:line="160" w:lineRule="atLeast"/>
              <w:rPr>
                <w:rFonts w:ascii="STIX" w:hAnsi="STIX" w:cs="STIX"/>
                <w:color w:val="211D1E"/>
                <w:sz w:val="24"/>
                <w:szCs w:val="16"/>
              </w:rPr>
            </w:pPr>
            <w:r w:rsidRPr="00E87964">
              <w:rPr>
                <w:rFonts w:ascii="STIX" w:hAnsi="STIX" w:cs="STIX"/>
                <w:color w:val="211D1E"/>
                <w:sz w:val="24"/>
                <w:szCs w:val="16"/>
              </w:rPr>
              <w:t>2</w:t>
            </w:r>
          </w:p>
        </w:tc>
        <w:tc>
          <w:tcPr>
            <w:tcW w:w="849" w:type="dxa"/>
          </w:tcPr>
          <w:p w:rsidR="00E87964" w:rsidRPr="00E87964" w:rsidRDefault="00E87964" w:rsidP="009F4ACA">
            <w:pPr>
              <w:autoSpaceDE w:val="0"/>
              <w:autoSpaceDN w:val="0"/>
              <w:adjustRightInd w:val="0"/>
              <w:spacing w:before="440" w:after="40" w:line="160" w:lineRule="atLeast"/>
              <w:rPr>
                <w:rFonts w:ascii="STIX" w:hAnsi="STIX" w:cs="STIX"/>
                <w:color w:val="211D1E"/>
                <w:sz w:val="24"/>
                <w:szCs w:val="16"/>
              </w:rPr>
            </w:pPr>
            <w:r w:rsidRPr="00E87964">
              <w:rPr>
                <w:rFonts w:ascii="STIX" w:hAnsi="STIX" w:cs="STIX"/>
                <w:color w:val="211D1E"/>
                <w:sz w:val="24"/>
                <w:szCs w:val="16"/>
              </w:rPr>
              <w:t>2.5</w:t>
            </w:r>
          </w:p>
        </w:tc>
        <w:tc>
          <w:tcPr>
            <w:tcW w:w="840" w:type="dxa"/>
          </w:tcPr>
          <w:p w:rsidR="00E87964" w:rsidRPr="00E87964" w:rsidRDefault="00E87964" w:rsidP="009F4ACA">
            <w:pPr>
              <w:autoSpaceDE w:val="0"/>
              <w:autoSpaceDN w:val="0"/>
              <w:adjustRightInd w:val="0"/>
              <w:spacing w:before="440" w:after="40" w:line="160" w:lineRule="atLeast"/>
              <w:rPr>
                <w:rFonts w:ascii="STIX" w:hAnsi="STIX" w:cs="STIX"/>
                <w:color w:val="211D1E"/>
                <w:sz w:val="24"/>
                <w:szCs w:val="16"/>
              </w:rPr>
            </w:pPr>
            <w:r w:rsidRPr="00E87964">
              <w:rPr>
                <w:rFonts w:ascii="STIX" w:hAnsi="STIX" w:cs="STIX"/>
                <w:color w:val="211D1E"/>
                <w:sz w:val="24"/>
                <w:szCs w:val="16"/>
              </w:rPr>
              <w:t>3</w:t>
            </w:r>
          </w:p>
        </w:tc>
      </w:tr>
      <w:tr w:rsidR="00E87964" w:rsidRPr="00E87964" w:rsidTr="00E87964">
        <w:trPr>
          <w:trHeight w:val="788"/>
        </w:trPr>
        <w:tc>
          <w:tcPr>
            <w:tcW w:w="1668" w:type="dxa"/>
          </w:tcPr>
          <w:p w:rsidR="00E87964" w:rsidRPr="00E87964" w:rsidRDefault="00E87964" w:rsidP="009F4ACA">
            <w:pPr>
              <w:autoSpaceDE w:val="0"/>
              <w:autoSpaceDN w:val="0"/>
              <w:adjustRightInd w:val="0"/>
              <w:spacing w:after="440" w:line="160" w:lineRule="atLeast"/>
              <w:rPr>
                <w:rFonts w:ascii="STIX" w:hAnsi="STIX" w:cs="STIX"/>
                <w:b/>
                <w:bCs/>
                <w:color w:val="211D1E"/>
                <w:sz w:val="24"/>
                <w:szCs w:val="16"/>
              </w:rPr>
            </w:pPr>
            <w:r w:rsidRPr="00E87964">
              <w:rPr>
                <w:rFonts w:ascii="STIX" w:hAnsi="STIX" w:cs="STIX"/>
                <w:b/>
                <w:bCs/>
                <w:color w:val="211D1E"/>
                <w:sz w:val="24"/>
                <w:szCs w:val="16"/>
              </w:rPr>
              <w:t>Temperature,°C</w:t>
            </w:r>
          </w:p>
        </w:tc>
        <w:tc>
          <w:tcPr>
            <w:tcW w:w="840" w:type="dxa"/>
          </w:tcPr>
          <w:p w:rsidR="00E87964" w:rsidRPr="00E87964" w:rsidRDefault="00E87964" w:rsidP="009F4ACA">
            <w:pPr>
              <w:autoSpaceDE w:val="0"/>
              <w:autoSpaceDN w:val="0"/>
              <w:adjustRightInd w:val="0"/>
              <w:spacing w:after="440" w:line="160" w:lineRule="atLeast"/>
              <w:rPr>
                <w:rFonts w:ascii="STIX" w:hAnsi="STIX" w:cs="STIX"/>
                <w:color w:val="211D1E"/>
                <w:sz w:val="24"/>
                <w:szCs w:val="16"/>
              </w:rPr>
            </w:pPr>
            <w:r w:rsidRPr="00E87964">
              <w:rPr>
                <w:rFonts w:ascii="STIX" w:hAnsi="STIX" w:cs="STIX"/>
                <w:color w:val="211D1E"/>
                <w:sz w:val="24"/>
                <w:szCs w:val="16"/>
              </w:rPr>
              <w:t>70</w:t>
            </w:r>
          </w:p>
        </w:tc>
        <w:tc>
          <w:tcPr>
            <w:tcW w:w="849" w:type="dxa"/>
          </w:tcPr>
          <w:p w:rsidR="00E87964" w:rsidRPr="00E87964" w:rsidRDefault="00E87964" w:rsidP="009F4ACA">
            <w:pPr>
              <w:autoSpaceDE w:val="0"/>
              <w:autoSpaceDN w:val="0"/>
              <w:adjustRightInd w:val="0"/>
              <w:spacing w:after="440" w:line="160" w:lineRule="atLeast"/>
              <w:rPr>
                <w:rFonts w:ascii="STIX" w:hAnsi="STIX" w:cs="STIX"/>
                <w:color w:val="211D1E"/>
                <w:sz w:val="24"/>
                <w:szCs w:val="16"/>
              </w:rPr>
            </w:pPr>
            <w:r w:rsidRPr="00E87964">
              <w:rPr>
                <w:rFonts w:ascii="STIX" w:hAnsi="STIX" w:cs="STIX"/>
                <w:color w:val="211D1E"/>
                <w:sz w:val="24"/>
                <w:szCs w:val="16"/>
              </w:rPr>
              <w:t>70</w:t>
            </w:r>
          </w:p>
        </w:tc>
        <w:tc>
          <w:tcPr>
            <w:tcW w:w="840" w:type="dxa"/>
          </w:tcPr>
          <w:p w:rsidR="00E87964" w:rsidRPr="00E87964" w:rsidRDefault="00E87964" w:rsidP="009F4ACA">
            <w:pPr>
              <w:autoSpaceDE w:val="0"/>
              <w:autoSpaceDN w:val="0"/>
              <w:adjustRightInd w:val="0"/>
              <w:spacing w:after="440" w:line="160" w:lineRule="atLeast"/>
              <w:rPr>
                <w:rFonts w:ascii="STIX" w:hAnsi="STIX" w:cs="STIX"/>
                <w:color w:val="211D1E"/>
                <w:sz w:val="24"/>
                <w:szCs w:val="16"/>
              </w:rPr>
            </w:pPr>
            <w:r w:rsidRPr="00E87964">
              <w:rPr>
                <w:rFonts w:ascii="STIX" w:hAnsi="STIX" w:cs="STIX"/>
                <w:color w:val="211D1E"/>
                <w:sz w:val="24"/>
                <w:szCs w:val="16"/>
              </w:rPr>
              <w:t>55</w:t>
            </w:r>
          </w:p>
        </w:tc>
        <w:tc>
          <w:tcPr>
            <w:tcW w:w="849" w:type="dxa"/>
          </w:tcPr>
          <w:p w:rsidR="00E87964" w:rsidRPr="00E87964" w:rsidRDefault="00E87964" w:rsidP="009F4ACA">
            <w:pPr>
              <w:autoSpaceDE w:val="0"/>
              <w:autoSpaceDN w:val="0"/>
              <w:adjustRightInd w:val="0"/>
              <w:spacing w:after="440" w:line="160" w:lineRule="atLeast"/>
              <w:rPr>
                <w:rFonts w:ascii="STIX" w:hAnsi="STIX" w:cs="STIX"/>
                <w:color w:val="211D1E"/>
                <w:sz w:val="24"/>
                <w:szCs w:val="16"/>
              </w:rPr>
            </w:pPr>
            <w:r w:rsidRPr="00E87964">
              <w:rPr>
                <w:rFonts w:ascii="STIX" w:hAnsi="STIX" w:cs="STIX"/>
                <w:color w:val="211D1E"/>
                <w:sz w:val="24"/>
                <w:szCs w:val="16"/>
              </w:rPr>
              <w:t>22</w:t>
            </w:r>
          </w:p>
        </w:tc>
        <w:tc>
          <w:tcPr>
            <w:tcW w:w="840" w:type="dxa"/>
          </w:tcPr>
          <w:p w:rsidR="00E87964" w:rsidRPr="00E87964" w:rsidRDefault="00E87964" w:rsidP="009F4ACA">
            <w:pPr>
              <w:autoSpaceDE w:val="0"/>
              <w:autoSpaceDN w:val="0"/>
              <w:adjustRightInd w:val="0"/>
              <w:spacing w:after="440" w:line="160" w:lineRule="atLeast"/>
              <w:rPr>
                <w:rFonts w:ascii="STIX" w:hAnsi="STIX" w:cs="STIX"/>
                <w:color w:val="211D1E"/>
                <w:sz w:val="24"/>
                <w:szCs w:val="16"/>
              </w:rPr>
            </w:pPr>
            <w:r w:rsidRPr="00E87964">
              <w:rPr>
                <w:rFonts w:ascii="STIX" w:hAnsi="STIX" w:cs="STIX"/>
                <w:color w:val="211D1E"/>
                <w:sz w:val="24"/>
                <w:szCs w:val="16"/>
              </w:rPr>
              <w:t>13</w:t>
            </w:r>
          </w:p>
        </w:tc>
        <w:tc>
          <w:tcPr>
            <w:tcW w:w="849" w:type="dxa"/>
          </w:tcPr>
          <w:p w:rsidR="00E87964" w:rsidRPr="00E87964" w:rsidRDefault="00E87964" w:rsidP="009F4ACA">
            <w:pPr>
              <w:autoSpaceDE w:val="0"/>
              <w:autoSpaceDN w:val="0"/>
              <w:adjustRightInd w:val="0"/>
              <w:spacing w:after="440" w:line="160" w:lineRule="atLeast"/>
              <w:rPr>
                <w:rFonts w:ascii="STIX" w:hAnsi="STIX" w:cs="STIX"/>
                <w:color w:val="211D1E"/>
                <w:sz w:val="24"/>
                <w:szCs w:val="16"/>
              </w:rPr>
            </w:pPr>
            <w:r w:rsidRPr="00E87964">
              <w:rPr>
                <w:rFonts w:ascii="STIX" w:hAnsi="STIX" w:cs="STIX"/>
                <w:color w:val="211D1E"/>
                <w:sz w:val="24"/>
                <w:szCs w:val="16"/>
              </w:rPr>
              <w:t>10</w:t>
            </w:r>
          </w:p>
        </w:tc>
        <w:tc>
          <w:tcPr>
            <w:tcW w:w="840" w:type="dxa"/>
          </w:tcPr>
          <w:p w:rsidR="00E87964" w:rsidRPr="00E87964" w:rsidRDefault="00E87964" w:rsidP="009F4ACA">
            <w:pPr>
              <w:autoSpaceDE w:val="0"/>
              <w:autoSpaceDN w:val="0"/>
              <w:adjustRightInd w:val="0"/>
              <w:spacing w:after="440" w:line="160" w:lineRule="atLeast"/>
              <w:rPr>
                <w:rFonts w:ascii="STIX" w:hAnsi="STIX" w:cs="STIX"/>
                <w:color w:val="211D1E"/>
                <w:sz w:val="24"/>
                <w:szCs w:val="16"/>
              </w:rPr>
            </w:pPr>
            <w:r w:rsidRPr="00E87964">
              <w:rPr>
                <w:rFonts w:ascii="STIX" w:hAnsi="STIX" w:cs="STIX"/>
                <w:color w:val="211D1E"/>
                <w:sz w:val="24"/>
                <w:szCs w:val="16"/>
              </w:rPr>
              <w:t>10</w:t>
            </w:r>
          </w:p>
        </w:tc>
      </w:tr>
    </w:tbl>
    <w:p w:rsidR="00E87964" w:rsidRPr="00E87964" w:rsidRDefault="00E87964" w:rsidP="00E87964">
      <w:pPr>
        <w:autoSpaceDE w:val="0"/>
        <w:autoSpaceDN w:val="0"/>
        <w:adjustRightInd w:val="0"/>
        <w:spacing w:after="0" w:line="180" w:lineRule="atLeast"/>
        <w:rPr>
          <w:rFonts w:ascii="STIX" w:hAnsi="STIX" w:cs="STIX"/>
          <w:color w:val="211D1E"/>
          <w:sz w:val="24"/>
          <w:szCs w:val="18"/>
        </w:rPr>
      </w:pPr>
      <w:r w:rsidRPr="00E87964">
        <w:rPr>
          <w:rFonts w:ascii="STIX" w:hAnsi="STIX" w:cs="STIX"/>
          <w:color w:val="211D1E"/>
          <w:sz w:val="24"/>
          <w:szCs w:val="18"/>
        </w:rPr>
        <w:t xml:space="preserve">Based on these temperatures, the tank can be idealized as two zones separated by a strong temperature gradient or </w:t>
      </w:r>
      <w:r w:rsidRPr="00E87964">
        <w:rPr>
          <w:rFonts w:ascii="STIX" w:hAnsi="STIX" w:cs="STIX"/>
          <w:i/>
          <w:iCs/>
          <w:color w:val="211D1E"/>
          <w:sz w:val="24"/>
          <w:szCs w:val="18"/>
        </w:rPr>
        <w:t>thermocline</w:t>
      </w:r>
      <w:r w:rsidRPr="00E87964">
        <w:rPr>
          <w:rFonts w:ascii="STIX" w:hAnsi="STIX" w:cs="STIX"/>
          <w:color w:val="211D1E"/>
          <w:sz w:val="24"/>
          <w:szCs w:val="18"/>
        </w:rPr>
        <w:t xml:space="preserve">. The depth of the thermocline can be defined as the inflection point of the temperature-depth curve—that is, the point at which </w:t>
      </w:r>
      <w:r w:rsidRPr="00E87964">
        <w:rPr>
          <w:rFonts w:ascii="STIX" w:hAnsi="STIX" w:cs="STIX"/>
          <w:i/>
          <w:iCs/>
          <w:color w:val="211D1E"/>
          <w:sz w:val="24"/>
          <w:szCs w:val="18"/>
        </w:rPr>
        <w:t>d</w:t>
      </w:r>
      <w:r w:rsidRPr="00E87964">
        <w:rPr>
          <w:rFonts w:ascii="STIX" w:hAnsi="STIX" w:cs="STIX"/>
          <w:color w:val="211D1E"/>
          <w:sz w:val="32"/>
          <w:vertAlign w:val="superscript"/>
        </w:rPr>
        <w:t>2</w:t>
      </w:r>
      <w:r w:rsidRPr="00E87964">
        <w:rPr>
          <w:rFonts w:ascii="STIX" w:hAnsi="STIX" w:cs="STIX"/>
          <w:i/>
          <w:iCs/>
          <w:color w:val="211D1E"/>
          <w:sz w:val="24"/>
          <w:szCs w:val="18"/>
        </w:rPr>
        <w:t>T</w:t>
      </w:r>
      <w:r w:rsidRPr="00E87964">
        <w:rPr>
          <w:rFonts w:ascii="STIX" w:hAnsi="STIX" w:cs="STIX"/>
          <w:color w:val="211D1E"/>
          <w:sz w:val="24"/>
          <w:szCs w:val="18"/>
        </w:rPr>
        <w:t>∕</w:t>
      </w:r>
      <w:r w:rsidRPr="00E87964">
        <w:rPr>
          <w:rFonts w:ascii="STIX" w:hAnsi="STIX" w:cs="STIX"/>
          <w:i/>
          <w:iCs/>
          <w:color w:val="211D1E"/>
          <w:sz w:val="24"/>
          <w:szCs w:val="18"/>
        </w:rPr>
        <w:t>dz</w:t>
      </w:r>
      <w:r w:rsidRPr="00E87964">
        <w:rPr>
          <w:rFonts w:ascii="STIX" w:hAnsi="STIX" w:cs="STIX"/>
          <w:color w:val="211D1E"/>
          <w:sz w:val="32"/>
          <w:vertAlign w:val="superscript"/>
        </w:rPr>
        <w:t>2</w:t>
      </w:r>
      <w:r w:rsidRPr="00E87964">
        <w:rPr>
          <w:rFonts w:ascii="STIX" w:hAnsi="STIX" w:cs="STIX"/>
          <w:color w:val="211D1E"/>
          <w:sz w:val="24"/>
        </w:rPr>
        <w:t xml:space="preserve"> </w:t>
      </w:r>
      <w:r w:rsidRPr="00E87964">
        <w:rPr>
          <w:rFonts w:ascii="STIX" w:hAnsi="STIX" w:cs="STIX"/>
          <w:color w:val="211D1E"/>
          <w:sz w:val="24"/>
          <w:szCs w:val="18"/>
        </w:rPr>
        <w:t xml:space="preserve">= 0. At this depth, the heat flux from the surface to the bottom layer can be computed with Fourier’s law: </w:t>
      </w:r>
    </w:p>
    <w:p w:rsidR="00E87964" w:rsidRDefault="00E87964" w:rsidP="00E87964">
      <w:pPr>
        <w:pStyle w:val="MTDisplayEquation"/>
      </w:pPr>
      <w:r>
        <w:tab/>
      </w:r>
      <w:r w:rsidRPr="00E87964">
        <w:rPr>
          <w:position w:val="-26"/>
        </w:rPr>
        <w:object w:dxaOrig="135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5" type="#_x0000_t75" style="width:68.25pt;height:33pt" o:ole="">
            <v:imagedata r:id="rId7" o:title=""/>
          </v:shape>
          <o:OLEObject Type="Embed" ProgID="Equation.DSMT4" ShapeID="_x0000_i1245" DrawAspect="Content" ObjectID="_1551437642" r:id="rId8"/>
        </w:object>
      </w:r>
      <w:r>
        <w:t xml:space="preserve"> </w:t>
      </w:r>
    </w:p>
    <w:p w:rsidR="00E87964" w:rsidRDefault="00E87964" w:rsidP="00E87964">
      <w:pPr>
        <w:autoSpaceDE w:val="0"/>
        <w:autoSpaceDN w:val="0"/>
        <w:adjustRightInd w:val="0"/>
        <w:spacing w:after="0" w:line="240" w:lineRule="auto"/>
        <w:rPr>
          <w:rFonts w:ascii="STIX" w:hAnsi="STIX" w:cs="STIX"/>
          <w:color w:val="211D1E"/>
          <w:sz w:val="24"/>
          <w:szCs w:val="18"/>
        </w:rPr>
      </w:pPr>
      <w:r w:rsidRPr="00E87964">
        <w:rPr>
          <w:rFonts w:ascii="STIX" w:hAnsi="STIX" w:cs="STIX"/>
          <w:color w:val="211D1E"/>
          <w:position w:val="-4"/>
          <w:sz w:val="24"/>
          <w:szCs w:val="18"/>
        </w:rPr>
        <w:object w:dxaOrig="180" w:dyaOrig="279">
          <v:shape id="_x0000_i1244" type="#_x0000_t75" style="width:9pt;height:14.25pt" o:ole="">
            <v:imagedata r:id="rId9" o:title=""/>
          </v:shape>
          <o:OLEObject Type="Embed" ProgID="Equation.DSMT4" ShapeID="_x0000_i1244" DrawAspect="Content" ObjectID="_1551437643" r:id="rId10"/>
        </w:object>
      </w:r>
      <w:r>
        <w:rPr>
          <w:rFonts w:ascii="STIX" w:hAnsi="STIX" w:cs="STIX"/>
          <w:color w:val="211D1E"/>
          <w:sz w:val="24"/>
          <w:szCs w:val="18"/>
        </w:rPr>
        <w:t xml:space="preserve"> </w:t>
      </w:r>
    </w:p>
    <w:p w:rsidR="00167092" w:rsidRPr="00E87964" w:rsidRDefault="00E87964" w:rsidP="00E87964">
      <w:pPr>
        <w:autoSpaceDE w:val="0"/>
        <w:autoSpaceDN w:val="0"/>
        <w:adjustRightInd w:val="0"/>
        <w:spacing w:after="0" w:line="240" w:lineRule="auto"/>
        <w:rPr>
          <w:rFonts w:ascii="STIX" w:hAnsi="STIX" w:cs="STIX"/>
          <w:sz w:val="24"/>
        </w:rPr>
      </w:pPr>
      <w:r w:rsidRPr="00E87964">
        <w:rPr>
          <w:rFonts w:ascii="STIX" w:hAnsi="STIX" w:cs="STIX"/>
          <w:color w:val="211D1E"/>
          <w:sz w:val="24"/>
          <w:szCs w:val="18"/>
        </w:rPr>
        <w:t xml:space="preserve">Use a clamped cubic spline fit with zero end derivatives to determine the thermocline depth. If </w:t>
      </w:r>
      <w:r w:rsidRPr="00E87964">
        <w:rPr>
          <w:rFonts w:ascii="STIX" w:hAnsi="STIX" w:cs="STIX"/>
          <w:i/>
          <w:iCs/>
          <w:color w:val="211D1E"/>
          <w:sz w:val="24"/>
          <w:szCs w:val="18"/>
        </w:rPr>
        <w:t>k</w:t>
      </w:r>
      <w:r>
        <w:rPr>
          <w:rFonts w:ascii="STIX" w:hAnsi="STIX" w:cs="STIX"/>
          <w:i/>
          <w:iCs/>
          <w:color w:val="211D1E"/>
          <w:sz w:val="24"/>
          <w:szCs w:val="18"/>
        </w:rPr>
        <w:t> </w:t>
      </w:r>
      <w:r w:rsidRPr="00E87964">
        <w:rPr>
          <w:rFonts w:ascii="STIX" w:hAnsi="STIX" w:cs="STIX"/>
          <w:color w:val="211D1E"/>
          <w:sz w:val="24"/>
          <w:szCs w:val="18"/>
        </w:rPr>
        <w:t xml:space="preserve">= 0.01 cal/ (s · cm · °C) compute the flux across this interface. </w:t>
      </w:r>
    </w:p>
    <w:sectPr w:rsidR="00167092" w:rsidRPr="00E87964" w:rsidSect="00D81807">
      <w:footerReference w:type="default" r:id="rId11"/>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110</Words>
  <Characters>627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2017-03-19T20:03:00Z</dcterms:created>
  <dcterms:modified xsi:type="dcterms:W3CDTF">2017-03-19T20:03:00Z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