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0661A" w:rsidRDefault="00512B6C" w:rsidP="0010661A">
      <w:pPr>
        <w:pStyle w:val="Default"/>
        <w:ind w:right="-450"/>
        <w:rPr>
          <w:b/>
        </w:rPr>
      </w:pPr>
      <w:r w:rsidRPr="0010661A">
        <w:rPr>
          <w:b/>
        </w:rPr>
        <w:t xml:space="preserve">Problem </w:t>
      </w:r>
      <w:r w:rsidR="001D3DC1" w:rsidRPr="0010661A">
        <w:rPr>
          <w:b/>
        </w:rPr>
        <w:t>1</w:t>
      </w:r>
      <w:r w:rsidR="00211E9D" w:rsidRPr="0010661A">
        <w:rPr>
          <w:b/>
        </w:rPr>
        <w:t>8.</w:t>
      </w:r>
      <w:r w:rsidR="0010661A" w:rsidRPr="0010661A">
        <w:rPr>
          <w:b/>
        </w:rPr>
        <w:t>8</w:t>
      </w:r>
    </w:p>
    <w:p w:rsidR="0010661A" w:rsidRPr="0010661A" w:rsidRDefault="0010661A" w:rsidP="0010661A">
      <w:pPr>
        <w:autoSpaceDE w:val="0"/>
        <w:autoSpaceDN w:val="0"/>
        <w:adjustRightInd w:val="0"/>
        <w:spacing w:after="0" w:line="240" w:lineRule="auto"/>
        <w:rPr>
          <w:rFonts w:ascii="STIX" w:hAnsi="STIX" w:cs="STIX"/>
          <w:color w:val="000000"/>
          <w:sz w:val="24"/>
          <w:szCs w:val="24"/>
        </w:rPr>
      </w:pPr>
    </w:p>
    <w:p w:rsidR="0010661A" w:rsidRPr="0010661A" w:rsidRDefault="0010661A" w:rsidP="0010661A">
      <w:pPr>
        <w:autoSpaceDE w:val="0"/>
        <w:autoSpaceDN w:val="0"/>
        <w:adjustRightInd w:val="0"/>
        <w:spacing w:after="0" w:line="180" w:lineRule="atLeast"/>
        <w:rPr>
          <w:rFonts w:ascii="STIX" w:hAnsi="STIX" w:cs="STIX"/>
          <w:color w:val="211D1E"/>
          <w:sz w:val="24"/>
          <w:szCs w:val="18"/>
        </w:rPr>
      </w:pPr>
      <w:r w:rsidRPr="0010661A">
        <w:rPr>
          <w:rFonts w:ascii="STIX" w:hAnsi="STIX" w:cs="STIX"/>
          <w:color w:val="211D1E"/>
          <w:sz w:val="24"/>
          <w:szCs w:val="18"/>
        </w:rPr>
        <w:t>Bessel functions often arise in advanced engineering and scientific analyses such as the study of electric fields. These functions are usually not amenable to straightforward evaluation and, therefore, are often compiled in standard mathematical tables. For example,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88"/>
        <w:gridCol w:w="1188"/>
        <w:gridCol w:w="1188"/>
        <w:gridCol w:w="1188"/>
        <w:gridCol w:w="1188"/>
        <w:gridCol w:w="1188"/>
      </w:tblGrid>
      <w:tr w:rsidR="0010661A" w:rsidRPr="0010661A" w:rsidTr="0010661A">
        <w:trPr>
          <w:trHeight w:val="630"/>
        </w:trPr>
        <w:tc>
          <w:tcPr>
            <w:tcW w:w="1188" w:type="dxa"/>
          </w:tcPr>
          <w:p w:rsidR="0010661A" w:rsidRPr="0010661A" w:rsidRDefault="0010661A" w:rsidP="002B7937">
            <w:pPr>
              <w:autoSpaceDE w:val="0"/>
              <w:autoSpaceDN w:val="0"/>
              <w:adjustRightInd w:val="0"/>
              <w:spacing w:before="300" w:after="40" w:line="160" w:lineRule="atLeast"/>
              <w:rPr>
                <w:rFonts w:ascii="STIX" w:hAnsi="STIX" w:cs="STIX"/>
                <w:b/>
                <w:bCs/>
                <w:i/>
                <w:iCs/>
                <w:color w:val="211D1E"/>
                <w:sz w:val="24"/>
                <w:szCs w:val="16"/>
              </w:rPr>
            </w:pPr>
            <w:r w:rsidRPr="0010661A">
              <w:rPr>
                <w:rFonts w:ascii="STIX" w:hAnsi="STIX" w:cs="STIX"/>
                <w:b/>
                <w:bCs/>
                <w:i/>
                <w:iCs/>
                <w:color w:val="211D1E"/>
                <w:sz w:val="24"/>
                <w:szCs w:val="16"/>
              </w:rPr>
              <w:t>x</w:t>
            </w:r>
          </w:p>
        </w:tc>
        <w:tc>
          <w:tcPr>
            <w:tcW w:w="1188" w:type="dxa"/>
          </w:tcPr>
          <w:p w:rsidR="0010661A" w:rsidRPr="0010661A" w:rsidRDefault="0010661A" w:rsidP="002B7937">
            <w:pPr>
              <w:autoSpaceDE w:val="0"/>
              <w:autoSpaceDN w:val="0"/>
              <w:adjustRightInd w:val="0"/>
              <w:spacing w:before="300" w:after="40" w:line="160" w:lineRule="atLeast"/>
              <w:rPr>
                <w:rFonts w:ascii="STIX" w:hAnsi="STIX" w:cs="STIX"/>
                <w:color w:val="211D1E"/>
                <w:sz w:val="24"/>
                <w:szCs w:val="16"/>
              </w:rPr>
            </w:pPr>
            <w:r w:rsidRPr="0010661A">
              <w:rPr>
                <w:rFonts w:ascii="STIX" w:hAnsi="STIX" w:cs="STIX"/>
                <w:color w:val="211D1E"/>
                <w:sz w:val="24"/>
                <w:szCs w:val="16"/>
              </w:rPr>
              <w:t>1.8</w:t>
            </w:r>
          </w:p>
        </w:tc>
        <w:tc>
          <w:tcPr>
            <w:tcW w:w="1188" w:type="dxa"/>
          </w:tcPr>
          <w:p w:rsidR="0010661A" w:rsidRPr="0010661A" w:rsidRDefault="0010661A" w:rsidP="002B7937">
            <w:pPr>
              <w:autoSpaceDE w:val="0"/>
              <w:autoSpaceDN w:val="0"/>
              <w:adjustRightInd w:val="0"/>
              <w:spacing w:before="300" w:after="40" w:line="160" w:lineRule="atLeast"/>
              <w:rPr>
                <w:rFonts w:ascii="STIX" w:hAnsi="STIX" w:cs="STIX"/>
                <w:color w:val="211D1E"/>
                <w:sz w:val="24"/>
                <w:szCs w:val="16"/>
              </w:rPr>
            </w:pPr>
            <w:r w:rsidRPr="0010661A">
              <w:rPr>
                <w:rFonts w:ascii="STIX" w:hAnsi="STIX" w:cs="STIX"/>
                <w:color w:val="211D1E"/>
                <w:sz w:val="24"/>
                <w:szCs w:val="16"/>
              </w:rPr>
              <w:t>2</w:t>
            </w:r>
          </w:p>
        </w:tc>
        <w:tc>
          <w:tcPr>
            <w:tcW w:w="1188" w:type="dxa"/>
          </w:tcPr>
          <w:p w:rsidR="0010661A" w:rsidRPr="0010661A" w:rsidRDefault="0010661A" w:rsidP="002B7937">
            <w:pPr>
              <w:autoSpaceDE w:val="0"/>
              <w:autoSpaceDN w:val="0"/>
              <w:adjustRightInd w:val="0"/>
              <w:spacing w:before="300" w:after="40" w:line="160" w:lineRule="atLeast"/>
              <w:rPr>
                <w:rFonts w:ascii="STIX" w:hAnsi="STIX" w:cs="STIX"/>
                <w:color w:val="211D1E"/>
                <w:sz w:val="24"/>
                <w:szCs w:val="16"/>
              </w:rPr>
            </w:pPr>
            <w:r w:rsidRPr="0010661A">
              <w:rPr>
                <w:rFonts w:ascii="STIX" w:hAnsi="STIX" w:cs="STIX"/>
                <w:color w:val="211D1E"/>
                <w:sz w:val="24"/>
                <w:szCs w:val="16"/>
              </w:rPr>
              <w:t>2.2</w:t>
            </w:r>
          </w:p>
        </w:tc>
        <w:tc>
          <w:tcPr>
            <w:tcW w:w="1188" w:type="dxa"/>
          </w:tcPr>
          <w:p w:rsidR="0010661A" w:rsidRPr="0010661A" w:rsidRDefault="0010661A" w:rsidP="002B7937">
            <w:pPr>
              <w:autoSpaceDE w:val="0"/>
              <w:autoSpaceDN w:val="0"/>
              <w:adjustRightInd w:val="0"/>
              <w:spacing w:before="300" w:after="40" w:line="160" w:lineRule="atLeast"/>
              <w:rPr>
                <w:rFonts w:ascii="STIX" w:hAnsi="STIX" w:cs="STIX"/>
                <w:color w:val="211D1E"/>
                <w:sz w:val="24"/>
                <w:szCs w:val="16"/>
              </w:rPr>
            </w:pPr>
            <w:r w:rsidRPr="0010661A">
              <w:rPr>
                <w:rFonts w:ascii="STIX" w:hAnsi="STIX" w:cs="STIX"/>
                <w:color w:val="211D1E"/>
                <w:sz w:val="24"/>
                <w:szCs w:val="16"/>
              </w:rPr>
              <w:t>2.4</w:t>
            </w:r>
          </w:p>
        </w:tc>
        <w:tc>
          <w:tcPr>
            <w:tcW w:w="1188" w:type="dxa"/>
          </w:tcPr>
          <w:p w:rsidR="0010661A" w:rsidRPr="0010661A" w:rsidRDefault="0010661A" w:rsidP="002B7937">
            <w:pPr>
              <w:autoSpaceDE w:val="0"/>
              <w:autoSpaceDN w:val="0"/>
              <w:adjustRightInd w:val="0"/>
              <w:spacing w:before="300" w:after="40" w:line="160" w:lineRule="atLeast"/>
              <w:rPr>
                <w:rFonts w:ascii="STIX" w:hAnsi="STIX" w:cs="STIX"/>
                <w:color w:val="211D1E"/>
                <w:sz w:val="24"/>
                <w:szCs w:val="16"/>
              </w:rPr>
            </w:pPr>
            <w:r w:rsidRPr="0010661A">
              <w:rPr>
                <w:rFonts w:ascii="STIX" w:hAnsi="STIX" w:cs="STIX"/>
                <w:color w:val="211D1E"/>
                <w:sz w:val="24"/>
                <w:szCs w:val="16"/>
              </w:rPr>
              <w:t>2.6</w:t>
            </w:r>
          </w:p>
        </w:tc>
      </w:tr>
      <w:tr w:rsidR="0010661A" w:rsidRPr="0010661A" w:rsidTr="0010661A">
        <w:trPr>
          <w:trHeight w:val="617"/>
        </w:trPr>
        <w:tc>
          <w:tcPr>
            <w:tcW w:w="1188" w:type="dxa"/>
          </w:tcPr>
          <w:p w:rsidR="0010661A" w:rsidRPr="0010661A" w:rsidRDefault="0010661A" w:rsidP="002B7937">
            <w:pPr>
              <w:autoSpaceDE w:val="0"/>
              <w:autoSpaceDN w:val="0"/>
              <w:adjustRightInd w:val="0"/>
              <w:spacing w:after="300" w:line="160" w:lineRule="atLeast"/>
              <w:rPr>
                <w:rFonts w:ascii="STIX" w:hAnsi="STIX" w:cs="STIX"/>
                <w:b/>
                <w:bCs/>
                <w:color w:val="211D1E"/>
                <w:sz w:val="24"/>
                <w:szCs w:val="16"/>
              </w:rPr>
            </w:pPr>
            <w:r w:rsidRPr="0010661A">
              <w:rPr>
                <w:rFonts w:ascii="STIX" w:hAnsi="STIX" w:cs="STIX"/>
                <w:b/>
                <w:bCs/>
                <w:i/>
                <w:iCs/>
                <w:color w:val="211D1E"/>
                <w:sz w:val="24"/>
                <w:szCs w:val="16"/>
              </w:rPr>
              <w:t>J</w:t>
            </w:r>
            <w:r w:rsidRPr="0010661A">
              <w:rPr>
                <w:rFonts w:ascii="STIX" w:hAnsi="STIX" w:cs="STIX"/>
                <w:b/>
                <w:bCs/>
                <w:color w:val="211D1E"/>
                <w:sz w:val="32"/>
                <w:szCs w:val="10"/>
                <w:vertAlign w:val="subscript"/>
              </w:rPr>
              <w:t>1</w:t>
            </w:r>
            <w:r w:rsidRPr="0010661A">
              <w:rPr>
                <w:rFonts w:ascii="STIX" w:hAnsi="STIX" w:cs="STIX"/>
                <w:b/>
                <w:bCs/>
                <w:color w:val="211D1E"/>
                <w:sz w:val="24"/>
                <w:szCs w:val="16"/>
              </w:rPr>
              <w:t>(</w:t>
            </w:r>
            <w:r w:rsidRPr="0010661A">
              <w:rPr>
                <w:rFonts w:ascii="STIX" w:hAnsi="STIX" w:cs="STIX"/>
                <w:b/>
                <w:bCs/>
                <w:i/>
                <w:iCs/>
                <w:color w:val="211D1E"/>
                <w:sz w:val="24"/>
                <w:szCs w:val="16"/>
              </w:rPr>
              <w:t>x</w:t>
            </w:r>
            <w:r w:rsidRPr="0010661A">
              <w:rPr>
                <w:rFonts w:ascii="STIX" w:hAnsi="STIX" w:cs="STIX"/>
                <w:b/>
                <w:bCs/>
                <w:color w:val="211D1E"/>
                <w:sz w:val="24"/>
                <w:szCs w:val="16"/>
              </w:rPr>
              <w:t>)</w:t>
            </w:r>
          </w:p>
        </w:tc>
        <w:tc>
          <w:tcPr>
            <w:tcW w:w="1188" w:type="dxa"/>
          </w:tcPr>
          <w:p w:rsidR="0010661A" w:rsidRPr="0010661A" w:rsidRDefault="0010661A" w:rsidP="002B7937">
            <w:pPr>
              <w:autoSpaceDE w:val="0"/>
              <w:autoSpaceDN w:val="0"/>
              <w:adjustRightInd w:val="0"/>
              <w:spacing w:after="300" w:line="160" w:lineRule="atLeast"/>
              <w:rPr>
                <w:rFonts w:ascii="STIX" w:hAnsi="STIX" w:cs="STIX"/>
                <w:color w:val="211D1E"/>
                <w:sz w:val="24"/>
                <w:szCs w:val="16"/>
              </w:rPr>
            </w:pPr>
            <w:r w:rsidRPr="0010661A">
              <w:rPr>
                <w:rFonts w:ascii="STIX" w:hAnsi="STIX" w:cs="STIX"/>
                <w:color w:val="211D1E"/>
                <w:sz w:val="24"/>
                <w:szCs w:val="16"/>
              </w:rPr>
              <w:t>0.5815</w:t>
            </w:r>
          </w:p>
        </w:tc>
        <w:tc>
          <w:tcPr>
            <w:tcW w:w="1188" w:type="dxa"/>
          </w:tcPr>
          <w:p w:rsidR="0010661A" w:rsidRPr="0010661A" w:rsidRDefault="0010661A" w:rsidP="002B7937">
            <w:pPr>
              <w:autoSpaceDE w:val="0"/>
              <w:autoSpaceDN w:val="0"/>
              <w:adjustRightInd w:val="0"/>
              <w:spacing w:after="300" w:line="160" w:lineRule="atLeast"/>
              <w:rPr>
                <w:rFonts w:ascii="STIX" w:hAnsi="STIX" w:cs="STIX"/>
                <w:color w:val="211D1E"/>
                <w:sz w:val="24"/>
                <w:szCs w:val="16"/>
              </w:rPr>
            </w:pPr>
            <w:r w:rsidRPr="0010661A">
              <w:rPr>
                <w:rFonts w:ascii="STIX" w:hAnsi="STIX" w:cs="STIX"/>
                <w:color w:val="211D1E"/>
                <w:sz w:val="24"/>
                <w:szCs w:val="16"/>
              </w:rPr>
              <w:t>0.5767</w:t>
            </w:r>
          </w:p>
        </w:tc>
        <w:tc>
          <w:tcPr>
            <w:tcW w:w="1188" w:type="dxa"/>
          </w:tcPr>
          <w:p w:rsidR="0010661A" w:rsidRPr="0010661A" w:rsidRDefault="0010661A" w:rsidP="002B7937">
            <w:pPr>
              <w:autoSpaceDE w:val="0"/>
              <w:autoSpaceDN w:val="0"/>
              <w:adjustRightInd w:val="0"/>
              <w:spacing w:after="300" w:line="160" w:lineRule="atLeast"/>
              <w:rPr>
                <w:rFonts w:ascii="STIX" w:hAnsi="STIX" w:cs="STIX"/>
                <w:color w:val="211D1E"/>
                <w:sz w:val="24"/>
                <w:szCs w:val="16"/>
              </w:rPr>
            </w:pPr>
            <w:r w:rsidRPr="0010661A">
              <w:rPr>
                <w:rFonts w:ascii="STIX" w:hAnsi="STIX" w:cs="STIX"/>
                <w:color w:val="211D1E"/>
                <w:sz w:val="24"/>
                <w:szCs w:val="16"/>
              </w:rPr>
              <w:t>0.556</w:t>
            </w:r>
          </w:p>
        </w:tc>
        <w:tc>
          <w:tcPr>
            <w:tcW w:w="1188" w:type="dxa"/>
          </w:tcPr>
          <w:p w:rsidR="0010661A" w:rsidRPr="0010661A" w:rsidRDefault="0010661A" w:rsidP="002B7937">
            <w:pPr>
              <w:autoSpaceDE w:val="0"/>
              <w:autoSpaceDN w:val="0"/>
              <w:adjustRightInd w:val="0"/>
              <w:spacing w:after="300" w:line="160" w:lineRule="atLeast"/>
              <w:rPr>
                <w:rFonts w:ascii="STIX" w:hAnsi="STIX" w:cs="STIX"/>
                <w:color w:val="211D1E"/>
                <w:sz w:val="24"/>
                <w:szCs w:val="16"/>
              </w:rPr>
            </w:pPr>
            <w:r w:rsidRPr="0010661A">
              <w:rPr>
                <w:rFonts w:ascii="STIX" w:hAnsi="STIX" w:cs="STIX"/>
                <w:color w:val="211D1E"/>
                <w:sz w:val="24"/>
                <w:szCs w:val="16"/>
              </w:rPr>
              <w:t>0.5202</w:t>
            </w:r>
          </w:p>
        </w:tc>
        <w:tc>
          <w:tcPr>
            <w:tcW w:w="1188" w:type="dxa"/>
          </w:tcPr>
          <w:p w:rsidR="0010661A" w:rsidRPr="0010661A" w:rsidRDefault="0010661A" w:rsidP="002B7937">
            <w:pPr>
              <w:autoSpaceDE w:val="0"/>
              <w:autoSpaceDN w:val="0"/>
              <w:adjustRightInd w:val="0"/>
              <w:spacing w:after="300" w:line="160" w:lineRule="atLeast"/>
              <w:rPr>
                <w:rFonts w:ascii="STIX" w:hAnsi="STIX" w:cs="STIX"/>
                <w:color w:val="211D1E"/>
                <w:sz w:val="24"/>
                <w:szCs w:val="16"/>
              </w:rPr>
            </w:pPr>
            <w:r w:rsidRPr="0010661A">
              <w:rPr>
                <w:rFonts w:ascii="STIX" w:hAnsi="STIX" w:cs="STIX"/>
                <w:color w:val="211D1E"/>
                <w:sz w:val="24"/>
                <w:szCs w:val="16"/>
              </w:rPr>
              <w:t>0.4708</w:t>
            </w:r>
          </w:p>
        </w:tc>
      </w:tr>
    </w:tbl>
    <w:p w:rsidR="0010661A" w:rsidRDefault="0010661A" w:rsidP="0010661A">
      <w:pPr>
        <w:autoSpaceDE w:val="0"/>
        <w:autoSpaceDN w:val="0"/>
        <w:adjustRightInd w:val="0"/>
        <w:spacing w:after="0" w:line="240" w:lineRule="auto"/>
        <w:rPr>
          <w:rFonts w:ascii="STIX" w:hAnsi="STIX" w:cs="STIX"/>
          <w:color w:val="211D1E"/>
          <w:sz w:val="24"/>
          <w:szCs w:val="18"/>
        </w:rPr>
      </w:pPr>
      <w:r w:rsidRPr="0010661A">
        <w:rPr>
          <w:rFonts w:ascii="STIX" w:hAnsi="STIX" w:cs="STIX"/>
          <w:color w:val="211D1E"/>
          <w:sz w:val="24"/>
          <w:szCs w:val="18"/>
        </w:rPr>
        <w:t xml:space="preserve">Estimate </w:t>
      </w:r>
      <w:r w:rsidRPr="0010661A">
        <w:rPr>
          <w:rFonts w:ascii="STIX" w:hAnsi="STIX" w:cs="STIX"/>
          <w:i/>
          <w:iCs/>
          <w:color w:val="211D1E"/>
          <w:sz w:val="24"/>
          <w:szCs w:val="18"/>
        </w:rPr>
        <w:t>J</w:t>
      </w:r>
      <w:r w:rsidRPr="0010661A">
        <w:rPr>
          <w:rFonts w:ascii="STIX" w:hAnsi="STIX" w:cs="STIX"/>
          <w:color w:val="211D1E"/>
          <w:sz w:val="32"/>
          <w:vertAlign w:val="subscript"/>
        </w:rPr>
        <w:t>1</w:t>
      </w:r>
      <w:r w:rsidRPr="0010661A">
        <w:rPr>
          <w:rFonts w:ascii="STIX" w:hAnsi="STIX" w:cs="STIX"/>
          <w:color w:val="211D1E"/>
          <w:sz w:val="24"/>
          <w:szCs w:val="18"/>
        </w:rPr>
        <w:t xml:space="preserve">(2.1), </w:t>
      </w:r>
    </w:p>
    <w:p w:rsidR="0010661A" w:rsidRDefault="0010661A" w:rsidP="0010661A">
      <w:pPr>
        <w:autoSpaceDE w:val="0"/>
        <w:autoSpaceDN w:val="0"/>
        <w:adjustRightInd w:val="0"/>
        <w:spacing w:after="0" w:line="240" w:lineRule="auto"/>
        <w:rPr>
          <w:rFonts w:ascii="STIX" w:hAnsi="STIX" w:cs="STIX"/>
          <w:color w:val="211D1E"/>
          <w:sz w:val="24"/>
          <w:szCs w:val="18"/>
        </w:rPr>
      </w:pPr>
    </w:p>
    <w:p w:rsidR="0010661A" w:rsidRDefault="0010661A" w:rsidP="0010661A">
      <w:pPr>
        <w:autoSpaceDE w:val="0"/>
        <w:autoSpaceDN w:val="0"/>
        <w:adjustRightInd w:val="0"/>
        <w:spacing w:after="0" w:line="240" w:lineRule="auto"/>
        <w:rPr>
          <w:rFonts w:ascii="STIX" w:hAnsi="STIX" w:cs="STIX"/>
          <w:color w:val="211D1E"/>
          <w:sz w:val="24"/>
          <w:szCs w:val="18"/>
        </w:rPr>
      </w:pPr>
      <w:r w:rsidRPr="0010661A">
        <w:rPr>
          <w:rFonts w:ascii="STIX" w:hAnsi="STIX" w:cs="STIX"/>
          <w:b/>
          <w:bCs/>
          <w:color w:val="211D1E"/>
          <w:sz w:val="24"/>
          <w:szCs w:val="18"/>
        </w:rPr>
        <w:t xml:space="preserve">(a) </w:t>
      </w:r>
      <w:r w:rsidRPr="0010661A">
        <w:rPr>
          <w:rFonts w:ascii="STIX" w:hAnsi="STIX" w:cs="STIX"/>
          <w:color w:val="211D1E"/>
          <w:sz w:val="24"/>
          <w:szCs w:val="18"/>
        </w:rPr>
        <w:t xml:space="preserve">using an interpolating polynomial and </w:t>
      </w:r>
    </w:p>
    <w:p w:rsidR="00C626B7" w:rsidRPr="00EF4E4C" w:rsidRDefault="0010661A" w:rsidP="0010661A">
      <w:pPr>
        <w:autoSpaceDE w:val="0"/>
        <w:autoSpaceDN w:val="0"/>
        <w:adjustRightInd w:val="0"/>
        <w:spacing w:after="0" w:line="240" w:lineRule="auto"/>
        <w:rPr>
          <w:rFonts w:ascii="STIX" w:hAnsi="STIX" w:cs="STIX"/>
          <w:color w:val="211D1E"/>
          <w:sz w:val="24"/>
          <w:szCs w:val="24"/>
        </w:rPr>
      </w:pPr>
      <w:r w:rsidRPr="0010661A">
        <w:rPr>
          <w:rFonts w:ascii="STIX" w:hAnsi="STIX" w:cs="STIX"/>
          <w:b/>
          <w:bCs/>
          <w:color w:val="211D1E"/>
          <w:sz w:val="24"/>
          <w:szCs w:val="18"/>
        </w:rPr>
        <w:t xml:space="preserve">(b) </w:t>
      </w:r>
      <w:r w:rsidRPr="0010661A">
        <w:rPr>
          <w:rFonts w:ascii="STIX" w:hAnsi="STIX" w:cs="STIX"/>
          <w:color w:val="211D1E"/>
          <w:sz w:val="24"/>
          <w:szCs w:val="18"/>
        </w:rPr>
        <w:t>using cubic splines. Note that the true value is 0.5683.</w:t>
      </w:r>
    </w:p>
    <w:sectPr w:rsidR="00C626B7" w:rsidRPr="00EF4E4C"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2017-03-19T20:20:00Z</dcterms:created>
  <dcterms:modified xsi:type="dcterms:W3CDTF">2017-03-19T20:20:00Z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