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4344B" w:rsidRDefault="00512B6C" w:rsidP="0054344B">
      <w:pPr>
        <w:pStyle w:val="Default"/>
        <w:ind w:right="-450"/>
        <w:rPr>
          <w:b/>
        </w:rPr>
      </w:pPr>
      <w:r w:rsidRPr="0054344B">
        <w:rPr>
          <w:b/>
        </w:rPr>
        <w:t xml:space="preserve">Problem </w:t>
      </w:r>
      <w:r w:rsidR="001D3DC1" w:rsidRPr="0054344B">
        <w:rPr>
          <w:b/>
        </w:rPr>
        <w:t>1</w:t>
      </w:r>
      <w:r w:rsidR="00211E9D" w:rsidRPr="0054344B">
        <w:rPr>
          <w:b/>
        </w:rPr>
        <w:t>8.</w:t>
      </w:r>
      <w:r w:rsidR="0054344B" w:rsidRPr="0054344B">
        <w:rPr>
          <w:b/>
        </w:rPr>
        <w:t>13</w:t>
      </w:r>
    </w:p>
    <w:p w:rsidR="0054344B" w:rsidRPr="0054344B" w:rsidRDefault="0054344B" w:rsidP="0054344B">
      <w:pPr>
        <w:pStyle w:val="Default"/>
      </w:pPr>
    </w:p>
    <w:p w:rsidR="0054344B" w:rsidRPr="0054344B" w:rsidRDefault="0054344B" w:rsidP="0054344B">
      <w:pPr>
        <w:pStyle w:val="Pa110"/>
        <w:rPr>
          <w:color w:val="211D1E"/>
          <w:szCs w:val="18"/>
        </w:rPr>
      </w:pPr>
      <w:r w:rsidRPr="0054344B">
        <w:rPr>
          <w:color w:val="211D1E"/>
          <w:szCs w:val="18"/>
        </w:rPr>
        <w:t xml:space="preserve">The drag coefficient for spheres such as sporting balls is known to vary as a function of the </w:t>
      </w:r>
      <w:r w:rsidRPr="0054344B">
        <w:rPr>
          <w:i/>
          <w:iCs/>
          <w:color w:val="211D1E"/>
          <w:szCs w:val="18"/>
        </w:rPr>
        <w:t xml:space="preserve">Reynolds </w:t>
      </w:r>
      <w:r w:rsidRPr="0054344B">
        <w:rPr>
          <w:color w:val="211D1E"/>
          <w:szCs w:val="18"/>
        </w:rPr>
        <w:t>number Re, a dimensionless number that gives a measure of the ratio of inertial forces to viscous forces:</w:t>
      </w:r>
    </w:p>
    <w:p w:rsidR="0054344B" w:rsidRDefault="0054344B" w:rsidP="0054344B">
      <w:pPr>
        <w:autoSpaceDE w:val="0"/>
        <w:autoSpaceDN w:val="0"/>
        <w:adjustRightInd w:val="0"/>
        <w:spacing w:after="0" w:line="240" w:lineRule="auto"/>
        <w:jc w:val="center"/>
        <w:rPr>
          <w:rFonts w:ascii="STIX" w:hAnsi="STIX" w:cs="STIX"/>
          <w:color w:val="211D1E"/>
          <w:sz w:val="24"/>
          <w:szCs w:val="18"/>
        </w:rPr>
      </w:pPr>
      <w:r w:rsidRPr="0054344B">
        <w:rPr>
          <w:rFonts w:ascii="STIX" w:hAnsi="STIX" w:cs="STIX"/>
          <w:color w:val="211D1E"/>
          <w:position w:val="-30"/>
          <w:sz w:val="24"/>
          <w:szCs w:val="18"/>
        </w:rPr>
        <w:object w:dxaOrig="12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35.25pt" o:ole="">
            <v:imagedata r:id="rId7" o:title=""/>
          </v:shape>
          <o:OLEObject Type="Embed" ProgID="Equation.DSMT4" ShapeID="_x0000_i1025" DrawAspect="Content" ObjectID="_1552650972" r:id="rId8"/>
        </w:object>
      </w:r>
      <w:r>
        <w:rPr>
          <w:rFonts w:ascii="STIX" w:hAnsi="STIX" w:cs="STIX"/>
          <w:color w:val="211D1E"/>
          <w:sz w:val="24"/>
          <w:szCs w:val="18"/>
        </w:rPr>
        <w:t xml:space="preserve"> </w:t>
      </w:r>
    </w:p>
    <w:p w:rsidR="0054344B" w:rsidRDefault="0054344B" w:rsidP="0054344B">
      <w:pPr>
        <w:autoSpaceDE w:val="0"/>
        <w:autoSpaceDN w:val="0"/>
        <w:adjustRightInd w:val="0"/>
        <w:spacing w:after="0" w:line="240" w:lineRule="auto"/>
        <w:rPr>
          <w:rFonts w:ascii="STIX" w:hAnsi="STIX" w:cs="STIX"/>
          <w:color w:val="211D1E"/>
          <w:sz w:val="24"/>
          <w:szCs w:val="18"/>
        </w:rPr>
      </w:pPr>
    </w:p>
    <w:p w:rsidR="004C44D2" w:rsidRDefault="0054344B" w:rsidP="0054344B">
      <w:pPr>
        <w:autoSpaceDE w:val="0"/>
        <w:autoSpaceDN w:val="0"/>
        <w:adjustRightInd w:val="0"/>
        <w:spacing w:after="0" w:line="240" w:lineRule="auto"/>
        <w:rPr>
          <w:rFonts w:ascii="STIX" w:hAnsi="STIX" w:cs="STIX"/>
          <w:color w:val="211D1E"/>
          <w:sz w:val="24"/>
          <w:szCs w:val="18"/>
        </w:rPr>
      </w:pPr>
      <w:r w:rsidRPr="0054344B">
        <w:rPr>
          <w:rFonts w:ascii="STIX" w:hAnsi="STIX" w:cs="STIX"/>
          <w:color w:val="211D1E"/>
          <w:sz w:val="24"/>
          <w:szCs w:val="18"/>
        </w:rPr>
        <w:t xml:space="preserve">where </w:t>
      </w:r>
      <w:r w:rsidRPr="0054344B">
        <w:rPr>
          <w:rFonts w:ascii="STIX" w:hAnsi="STIX" w:cs="STIX"/>
          <w:i/>
          <w:iCs/>
          <w:color w:val="211D1E"/>
          <w:sz w:val="24"/>
          <w:szCs w:val="18"/>
        </w:rPr>
        <w:t xml:space="preserve">ρ </w:t>
      </w:r>
      <w:r w:rsidRPr="0054344B">
        <w:rPr>
          <w:rFonts w:ascii="STIX" w:hAnsi="STIX" w:cs="STIX"/>
          <w:color w:val="211D1E"/>
          <w:sz w:val="24"/>
          <w:szCs w:val="18"/>
        </w:rPr>
        <w:t>= the fluid’s density (kg/m</w:t>
      </w:r>
      <w:r w:rsidRPr="0054344B">
        <w:rPr>
          <w:rStyle w:val="A187"/>
          <w:rFonts w:ascii="STIX" w:hAnsi="STIX" w:cs="STIX"/>
          <w:sz w:val="32"/>
          <w:vertAlign w:val="superscript"/>
        </w:rPr>
        <w:t>3</w:t>
      </w:r>
      <w:r w:rsidRPr="0054344B">
        <w:rPr>
          <w:rFonts w:ascii="STIX" w:hAnsi="STIX" w:cs="STIX"/>
          <w:color w:val="211D1E"/>
          <w:sz w:val="24"/>
          <w:szCs w:val="18"/>
        </w:rPr>
        <w:t xml:space="preserve">), </w:t>
      </w:r>
      <w:r w:rsidRPr="0054344B">
        <w:rPr>
          <w:rFonts w:ascii="STIX" w:hAnsi="STIX" w:cs="STIX"/>
          <w:i/>
          <w:iCs/>
          <w:color w:val="211D1E"/>
          <w:sz w:val="24"/>
          <w:szCs w:val="18"/>
        </w:rPr>
        <w:t xml:space="preserve">V </w:t>
      </w:r>
      <w:r w:rsidRPr="0054344B">
        <w:rPr>
          <w:rFonts w:ascii="STIX" w:hAnsi="STIX" w:cs="STIX"/>
          <w:color w:val="211D1E"/>
          <w:sz w:val="24"/>
          <w:szCs w:val="18"/>
        </w:rPr>
        <w:t xml:space="preserve">= its velocity (m/s), </w:t>
      </w:r>
      <w:r w:rsidRPr="0054344B">
        <w:rPr>
          <w:rFonts w:ascii="STIX" w:hAnsi="STIX" w:cs="STIX"/>
          <w:i/>
          <w:iCs/>
          <w:color w:val="211D1E"/>
          <w:sz w:val="24"/>
          <w:szCs w:val="18"/>
        </w:rPr>
        <w:t xml:space="preserve">D </w:t>
      </w:r>
      <w:r w:rsidRPr="0054344B">
        <w:rPr>
          <w:rFonts w:ascii="STIX" w:hAnsi="STIX" w:cs="STIX"/>
          <w:color w:val="211D1E"/>
          <w:sz w:val="24"/>
          <w:szCs w:val="18"/>
        </w:rPr>
        <w:t xml:space="preserve">= diameter (m), and </w:t>
      </w:r>
      <w:r w:rsidRPr="0054344B">
        <w:rPr>
          <w:rFonts w:ascii="STIX" w:hAnsi="STIX" w:cs="STIX"/>
          <w:i/>
          <w:iCs/>
          <w:color w:val="211D1E"/>
          <w:sz w:val="24"/>
          <w:szCs w:val="18"/>
        </w:rPr>
        <w:t xml:space="preserve">μ </w:t>
      </w:r>
      <w:r w:rsidRPr="0054344B">
        <w:rPr>
          <w:rFonts w:ascii="STIX" w:hAnsi="STIX" w:cs="STIX"/>
          <w:color w:val="211D1E"/>
          <w:sz w:val="24"/>
          <w:szCs w:val="18"/>
        </w:rPr>
        <w:t>= dynamic viscosity (N · s/m</w:t>
      </w:r>
      <w:r w:rsidRPr="0054344B">
        <w:rPr>
          <w:rStyle w:val="A187"/>
          <w:rFonts w:ascii="STIX" w:hAnsi="STIX" w:cs="STIX"/>
          <w:sz w:val="32"/>
          <w:vertAlign w:val="superscript"/>
        </w:rPr>
        <w:t>2</w:t>
      </w:r>
      <w:r w:rsidRPr="0054344B">
        <w:rPr>
          <w:rFonts w:ascii="STIX" w:hAnsi="STIX" w:cs="STIX"/>
          <w:color w:val="211D1E"/>
          <w:sz w:val="24"/>
          <w:szCs w:val="18"/>
        </w:rPr>
        <w:t>). Although the relationship of drag to the Reynolds number is sometimes available in equation form, it is frequently tabu</w:t>
      </w:r>
      <w:r w:rsidRPr="0054344B">
        <w:rPr>
          <w:rFonts w:ascii="STIX" w:hAnsi="STIX" w:cs="STIX"/>
          <w:color w:val="211D1E"/>
          <w:sz w:val="24"/>
          <w:szCs w:val="18"/>
        </w:rPr>
        <w:softHyphen/>
        <w:t>lated. For example, the following table provides values for a smooth spherical ball:</w:t>
      </w:r>
    </w:p>
    <w:p w:rsidR="00047B60" w:rsidRDefault="00047B60" w:rsidP="0054344B">
      <w:pPr>
        <w:autoSpaceDE w:val="0"/>
        <w:autoSpaceDN w:val="0"/>
        <w:adjustRightInd w:val="0"/>
        <w:spacing w:after="0" w:line="240" w:lineRule="auto"/>
        <w:rPr>
          <w:rFonts w:ascii="STIX" w:hAnsi="STIX" w:cs="STIX"/>
          <w:color w:val="211D1E"/>
          <w:sz w:val="24"/>
          <w:szCs w:val="18"/>
        </w:rPr>
      </w:pPr>
    </w:p>
    <w:p w:rsidR="00047B60" w:rsidRPr="00047B60" w:rsidRDefault="00047B60" w:rsidP="00047B60">
      <w:pPr>
        <w:autoSpaceDE w:val="0"/>
        <w:autoSpaceDN w:val="0"/>
        <w:adjustRightInd w:val="0"/>
        <w:spacing w:after="0" w:line="240" w:lineRule="auto"/>
        <w:rPr>
          <w:rFonts w:ascii="Proxima Nova Rg" w:hAnsi="Proxima Nova Rg" w:cs="Proxima Nova Rg"/>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66"/>
        <w:gridCol w:w="638"/>
        <w:gridCol w:w="638"/>
        <w:gridCol w:w="637"/>
        <w:gridCol w:w="637"/>
        <w:gridCol w:w="637"/>
        <w:gridCol w:w="637"/>
        <w:gridCol w:w="637"/>
        <w:gridCol w:w="756"/>
        <w:gridCol w:w="756"/>
        <w:gridCol w:w="637"/>
        <w:gridCol w:w="637"/>
        <w:gridCol w:w="637"/>
        <w:gridCol w:w="637"/>
      </w:tblGrid>
      <w:tr w:rsidR="00047B60" w:rsidRPr="00047B60" w:rsidTr="00047B60">
        <w:tc>
          <w:tcPr>
            <w:tcW w:w="1266" w:type="dxa"/>
          </w:tcPr>
          <w:p w:rsidR="00047B60" w:rsidRPr="00047B60" w:rsidRDefault="00047B60" w:rsidP="00A4354E">
            <w:pPr>
              <w:pStyle w:val="Default"/>
              <w:rPr>
                <w:b/>
                <w:bCs/>
                <w:color w:val="211D1E"/>
              </w:rPr>
            </w:pPr>
            <w:r w:rsidRPr="00047B60">
              <w:rPr>
                <w:b/>
                <w:bCs/>
                <w:color w:val="211D1E"/>
              </w:rPr>
              <w:t>Re(×10</w:t>
            </w:r>
            <w:r w:rsidRPr="00047B60">
              <w:rPr>
                <w:b/>
                <w:bCs/>
                <w:color w:val="211D1E"/>
                <w:sz w:val="32"/>
                <w:vertAlign w:val="superscript"/>
              </w:rPr>
              <w:t>−4</w:t>
            </w:r>
            <w:r w:rsidRPr="00047B60">
              <w:rPr>
                <w:b/>
                <w:bCs/>
                <w:color w:val="211D1E"/>
              </w:rPr>
              <w:t>)</w:t>
            </w:r>
          </w:p>
        </w:tc>
        <w:tc>
          <w:tcPr>
            <w:tcW w:w="638" w:type="dxa"/>
          </w:tcPr>
          <w:p w:rsidR="00047B60" w:rsidRPr="00047B60" w:rsidRDefault="00047B60" w:rsidP="00A4354E">
            <w:pPr>
              <w:pStyle w:val="Default"/>
              <w:rPr>
                <w:color w:val="211D1E"/>
              </w:rPr>
            </w:pPr>
            <w:r w:rsidRPr="00047B60">
              <w:rPr>
                <w:color w:val="211D1E"/>
              </w:rPr>
              <w:t>2</w:t>
            </w:r>
          </w:p>
        </w:tc>
        <w:tc>
          <w:tcPr>
            <w:tcW w:w="638" w:type="dxa"/>
          </w:tcPr>
          <w:p w:rsidR="00047B60" w:rsidRPr="00047B60" w:rsidRDefault="00047B60" w:rsidP="00A4354E">
            <w:pPr>
              <w:pStyle w:val="Default"/>
              <w:rPr>
                <w:color w:val="211D1E"/>
              </w:rPr>
            </w:pPr>
            <w:r w:rsidRPr="00047B60">
              <w:rPr>
                <w:color w:val="211D1E"/>
              </w:rPr>
              <w:t>5.8</w:t>
            </w:r>
          </w:p>
        </w:tc>
        <w:tc>
          <w:tcPr>
            <w:tcW w:w="637" w:type="dxa"/>
          </w:tcPr>
          <w:p w:rsidR="00047B60" w:rsidRPr="00047B60" w:rsidRDefault="00047B60" w:rsidP="00A4354E">
            <w:pPr>
              <w:pStyle w:val="Default"/>
              <w:rPr>
                <w:color w:val="211D1E"/>
              </w:rPr>
            </w:pPr>
            <w:r w:rsidRPr="00047B60">
              <w:rPr>
                <w:color w:val="211D1E"/>
              </w:rPr>
              <w:t>16.8</w:t>
            </w:r>
          </w:p>
        </w:tc>
        <w:tc>
          <w:tcPr>
            <w:tcW w:w="637" w:type="dxa"/>
          </w:tcPr>
          <w:p w:rsidR="00047B60" w:rsidRPr="00047B60" w:rsidRDefault="00047B60" w:rsidP="00A4354E">
            <w:pPr>
              <w:pStyle w:val="Default"/>
              <w:rPr>
                <w:color w:val="211D1E"/>
              </w:rPr>
            </w:pPr>
            <w:r w:rsidRPr="00047B60">
              <w:rPr>
                <w:color w:val="211D1E"/>
              </w:rPr>
              <w:t>27.2</w:t>
            </w:r>
          </w:p>
        </w:tc>
        <w:tc>
          <w:tcPr>
            <w:tcW w:w="637" w:type="dxa"/>
          </w:tcPr>
          <w:p w:rsidR="00047B60" w:rsidRPr="00047B60" w:rsidRDefault="00047B60" w:rsidP="00A4354E">
            <w:pPr>
              <w:pStyle w:val="Default"/>
              <w:rPr>
                <w:color w:val="211D1E"/>
              </w:rPr>
            </w:pPr>
            <w:r w:rsidRPr="00047B60">
              <w:rPr>
                <w:color w:val="211D1E"/>
              </w:rPr>
              <w:t>29.9</w:t>
            </w:r>
          </w:p>
        </w:tc>
        <w:tc>
          <w:tcPr>
            <w:tcW w:w="637" w:type="dxa"/>
          </w:tcPr>
          <w:p w:rsidR="00047B60" w:rsidRPr="00047B60" w:rsidRDefault="00047B60" w:rsidP="00A4354E">
            <w:pPr>
              <w:pStyle w:val="Default"/>
              <w:rPr>
                <w:color w:val="211D1E"/>
              </w:rPr>
            </w:pPr>
            <w:r w:rsidRPr="00047B60">
              <w:rPr>
                <w:color w:val="211D1E"/>
              </w:rPr>
              <w:t>33.9</w:t>
            </w:r>
          </w:p>
        </w:tc>
        <w:tc>
          <w:tcPr>
            <w:tcW w:w="637" w:type="dxa"/>
          </w:tcPr>
          <w:p w:rsidR="00047B60" w:rsidRPr="00047B60" w:rsidRDefault="00047B60" w:rsidP="00A4354E">
            <w:pPr>
              <w:pStyle w:val="Default"/>
              <w:rPr>
                <w:color w:val="211D1E"/>
              </w:rPr>
            </w:pPr>
            <w:r w:rsidRPr="00047B60">
              <w:rPr>
                <w:color w:val="211D1E"/>
              </w:rPr>
              <w:t>36.3</w:t>
            </w:r>
          </w:p>
        </w:tc>
        <w:tc>
          <w:tcPr>
            <w:tcW w:w="756" w:type="dxa"/>
          </w:tcPr>
          <w:p w:rsidR="00047B60" w:rsidRPr="00047B60" w:rsidRDefault="00047B60" w:rsidP="00A4354E">
            <w:pPr>
              <w:pStyle w:val="Default"/>
              <w:rPr>
                <w:color w:val="211D1E"/>
              </w:rPr>
            </w:pPr>
            <w:r w:rsidRPr="00047B60">
              <w:rPr>
                <w:color w:val="211D1E"/>
              </w:rPr>
              <w:t>40</w:t>
            </w:r>
          </w:p>
        </w:tc>
        <w:tc>
          <w:tcPr>
            <w:tcW w:w="756" w:type="dxa"/>
          </w:tcPr>
          <w:p w:rsidR="00047B60" w:rsidRPr="00047B60" w:rsidRDefault="00047B60" w:rsidP="00A4354E">
            <w:pPr>
              <w:pStyle w:val="Default"/>
              <w:rPr>
                <w:color w:val="211D1E"/>
              </w:rPr>
            </w:pPr>
            <w:r w:rsidRPr="00047B60">
              <w:rPr>
                <w:color w:val="211D1E"/>
              </w:rPr>
              <w:t>46</w:t>
            </w:r>
          </w:p>
        </w:tc>
        <w:tc>
          <w:tcPr>
            <w:tcW w:w="637" w:type="dxa"/>
          </w:tcPr>
          <w:p w:rsidR="00047B60" w:rsidRPr="00047B60" w:rsidRDefault="00047B60" w:rsidP="00A4354E">
            <w:pPr>
              <w:pStyle w:val="Default"/>
              <w:rPr>
                <w:color w:val="211D1E"/>
              </w:rPr>
            </w:pPr>
            <w:r w:rsidRPr="00047B60">
              <w:rPr>
                <w:color w:val="211D1E"/>
              </w:rPr>
              <w:t>60</w:t>
            </w:r>
          </w:p>
        </w:tc>
        <w:tc>
          <w:tcPr>
            <w:tcW w:w="637" w:type="dxa"/>
          </w:tcPr>
          <w:p w:rsidR="00047B60" w:rsidRPr="00047B60" w:rsidRDefault="00047B60" w:rsidP="00A4354E">
            <w:pPr>
              <w:pStyle w:val="Default"/>
              <w:rPr>
                <w:color w:val="211D1E"/>
              </w:rPr>
            </w:pPr>
            <w:r w:rsidRPr="00047B60">
              <w:rPr>
                <w:color w:val="211D1E"/>
              </w:rPr>
              <w:t>100</w:t>
            </w:r>
          </w:p>
        </w:tc>
        <w:tc>
          <w:tcPr>
            <w:tcW w:w="637" w:type="dxa"/>
          </w:tcPr>
          <w:p w:rsidR="00047B60" w:rsidRPr="00047B60" w:rsidRDefault="00047B60" w:rsidP="00A4354E">
            <w:pPr>
              <w:pStyle w:val="Default"/>
              <w:rPr>
                <w:color w:val="211D1E"/>
              </w:rPr>
            </w:pPr>
            <w:r w:rsidRPr="00047B60">
              <w:rPr>
                <w:color w:val="211D1E"/>
              </w:rPr>
              <w:t>200</w:t>
            </w:r>
          </w:p>
        </w:tc>
        <w:tc>
          <w:tcPr>
            <w:tcW w:w="637" w:type="dxa"/>
          </w:tcPr>
          <w:p w:rsidR="00047B60" w:rsidRPr="00047B60" w:rsidRDefault="00047B60" w:rsidP="00A4354E">
            <w:pPr>
              <w:pStyle w:val="Default"/>
            </w:pPr>
            <w:r w:rsidRPr="00047B60">
              <w:rPr>
                <w:color w:val="211D1E"/>
              </w:rPr>
              <w:t>400</w:t>
            </w:r>
          </w:p>
        </w:tc>
      </w:tr>
      <w:tr w:rsidR="00047B60" w:rsidRPr="00047B60" w:rsidTr="00047B60">
        <w:tc>
          <w:tcPr>
            <w:tcW w:w="1266" w:type="dxa"/>
          </w:tcPr>
          <w:p w:rsidR="00047B60" w:rsidRPr="00047B60" w:rsidRDefault="00047B60" w:rsidP="00A4354E">
            <w:pPr>
              <w:pStyle w:val="Default"/>
              <w:rPr>
                <w:b/>
                <w:bCs/>
                <w:i/>
                <w:iCs/>
                <w:color w:val="211D1E"/>
              </w:rPr>
            </w:pPr>
            <w:r w:rsidRPr="00047B60">
              <w:rPr>
                <w:b/>
                <w:bCs/>
                <w:i/>
                <w:iCs/>
                <w:color w:val="211D1E"/>
              </w:rPr>
              <w:t>CD</w:t>
            </w:r>
          </w:p>
        </w:tc>
        <w:tc>
          <w:tcPr>
            <w:tcW w:w="638" w:type="dxa"/>
          </w:tcPr>
          <w:p w:rsidR="00047B60" w:rsidRPr="00047B60" w:rsidRDefault="00047B60" w:rsidP="00A4354E">
            <w:pPr>
              <w:pStyle w:val="Default"/>
              <w:rPr>
                <w:color w:val="211D1E"/>
              </w:rPr>
            </w:pPr>
            <w:r w:rsidRPr="00047B60">
              <w:rPr>
                <w:color w:val="211D1E"/>
              </w:rPr>
              <w:t>0.52</w:t>
            </w:r>
          </w:p>
        </w:tc>
        <w:tc>
          <w:tcPr>
            <w:tcW w:w="638" w:type="dxa"/>
          </w:tcPr>
          <w:p w:rsidR="00047B60" w:rsidRPr="00047B60" w:rsidRDefault="00047B60" w:rsidP="00A4354E">
            <w:pPr>
              <w:pStyle w:val="Default"/>
              <w:rPr>
                <w:color w:val="211D1E"/>
              </w:rPr>
            </w:pPr>
            <w:r w:rsidRPr="00047B60">
              <w:rPr>
                <w:color w:val="211D1E"/>
              </w:rPr>
              <w:t>0.52</w:t>
            </w:r>
          </w:p>
        </w:tc>
        <w:tc>
          <w:tcPr>
            <w:tcW w:w="637" w:type="dxa"/>
          </w:tcPr>
          <w:p w:rsidR="00047B60" w:rsidRPr="00047B60" w:rsidRDefault="00047B60" w:rsidP="00A4354E">
            <w:pPr>
              <w:pStyle w:val="Default"/>
              <w:rPr>
                <w:color w:val="211D1E"/>
              </w:rPr>
            </w:pPr>
            <w:r w:rsidRPr="00047B60">
              <w:rPr>
                <w:color w:val="211D1E"/>
              </w:rPr>
              <w:t>0.52</w:t>
            </w:r>
          </w:p>
        </w:tc>
        <w:tc>
          <w:tcPr>
            <w:tcW w:w="637" w:type="dxa"/>
          </w:tcPr>
          <w:p w:rsidR="00047B60" w:rsidRPr="00047B60" w:rsidRDefault="00047B60" w:rsidP="00A4354E">
            <w:pPr>
              <w:pStyle w:val="Default"/>
              <w:rPr>
                <w:color w:val="211D1E"/>
              </w:rPr>
            </w:pPr>
            <w:r w:rsidRPr="00047B60">
              <w:rPr>
                <w:color w:val="211D1E"/>
              </w:rPr>
              <w:t>0.5</w:t>
            </w:r>
          </w:p>
        </w:tc>
        <w:tc>
          <w:tcPr>
            <w:tcW w:w="637" w:type="dxa"/>
          </w:tcPr>
          <w:p w:rsidR="00047B60" w:rsidRPr="00047B60" w:rsidRDefault="00047B60" w:rsidP="00A4354E">
            <w:pPr>
              <w:pStyle w:val="Default"/>
              <w:rPr>
                <w:color w:val="211D1E"/>
              </w:rPr>
            </w:pPr>
            <w:r w:rsidRPr="00047B60">
              <w:rPr>
                <w:color w:val="211D1E"/>
              </w:rPr>
              <w:t>0.49</w:t>
            </w:r>
          </w:p>
        </w:tc>
        <w:tc>
          <w:tcPr>
            <w:tcW w:w="637" w:type="dxa"/>
          </w:tcPr>
          <w:p w:rsidR="00047B60" w:rsidRPr="00047B60" w:rsidRDefault="00047B60" w:rsidP="00A4354E">
            <w:pPr>
              <w:pStyle w:val="Default"/>
              <w:rPr>
                <w:color w:val="211D1E"/>
              </w:rPr>
            </w:pPr>
            <w:r w:rsidRPr="00047B60">
              <w:rPr>
                <w:color w:val="211D1E"/>
              </w:rPr>
              <w:t>0.44</w:t>
            </w:r>
          </w:p>
        </w:tc>
        <w:tc>
          <w:tcPr>
            <w:tcW w:w="637" w:type="dxa"/>
          </w:tcPr>
          <w:p w:rsidR="00047B60" w:rsidRPr="00047B60" w:rsidRDefault="00047B60" w:rsidP="00A4354E">
            <w:pPr>
              <w:pStyle w:val="Default"/>
              <w:rPr>
                <w:color w:val="211D1E"/>
              </w:rPr>
            </w:pPr>
            <w:r w:rsidRPr="00047B60">
              <w:rPr>
                <w:color w:val="211D1E"/>
              </w:rPr>
              <w:t>0.18</w:t>
            </w:r>
          </w:p>
        </w:tc>
        <w:tc>
          <w:tcPr>
            <w:tcW w:w="756" w:type="dxa"/>
          </w:tcPr>
          <w:p w:rsidR="00047B60" w:rsidRPr="00047B60" w:rsidRDefault="00047B60" w:rsidP="00A4354E">
            <w:pPr>
              <w:pStyle w:val="Default"/>
              <w:rPr>
                <w:color w:val="211D1E"/>
              </w:rPr>
            </w:pPr>
            <w:r w:rsidRPr="00047B60">
              <w:rPr>
                <w:color w:val="211D1E"/>
              </w:rPr>
              <w:t>0.074</w:t>
            </w:r>
          </w:p>
        </w:tc>
        <w:tc>
          <w:tcPr>
            <w:tcW w:w="756" w:type="dxa"/>
          </w:tcPr>
          <w:p w:rsidR="00047B60" w:rsidRPr="00047B60" w:rsidRDefault="00047B60" w:rsidP="00A4354E">
            <w:pPr>
              <w:pStyle w:val="Default"/>
              <w:rPr>
                <w:color w:val="211D1E"/>
              </w:rPr>
            </w:pPr>
            <w:r w:rsidRPr="00047B60">
              <w:rPr>
                <w:color w:val="211D1E"/>
              </w:rPr>
              <w:t>0.067</w:t>
            </w:r>
          </w:p>
        </w:tc>
        <w:tc>
          <w:tcPr>
            <w:tcW w:w="637" w:type="dxa"/>
          </w:tcPr>
          <w:p w:rsidR="00047B60" w:rsidRPr="00047B60" w:rsidRDefault="00047B60" w:rsidP="00A4354E">
            <w:pPr>
              <w:pStyle w:val="Default"/>
              <w:rPr>
                <w:color w:val="211D1E"/>
              </w:rPr>
            </w:pPr>
            <w:r w:rsidRPr="00047B60">
              <w:rPr>
                <w:color w:val="211D1E"/>
              </w:rPr>
              <w:t>0.08</w:t>
            </w:r>
          </w:p>
        </w:tc>
        <w:tc>
          <w:tcPr>
            <w:tcW w:w="637" w:type="dxa"/>
          </w:tcPr>
          <w:p w:rsidR="00047B60" w:rsidRPr="00047B60" w:rsidRDefault="00047B60" w:rsidP="00A4354E">
            <w:pPr>
              <w:pStyle w:val="Default"/>
              <w:rPr>
                <w:color w:val="211D1E"/>
              </w:rPr>
            </w:pPr>
            <w:r w:rsidRPr="00047B60">
              <w:rPr>
                <w:color w:val="211D1E"/>
              </w:rPr>
              <w:t>0.12</w:t>
            </w:r>
          </w:p>
        </w:tc>
        <w:tc>
          <w:tcPr>
            <w:tcW w:w="637" w:type="dxa"/>
          </w:tcPr>
          <w:p w:rsidR="00047B60" w:rsidRPr="00047B60" w:rsidRDefault="00047B60" w:rsidP="00A4354E">
            <w:pPr>
              <w:pStyle w:val="Default"/>
              <w:rPr>
                <w:color w:val="211D1E"/>
              </w:rPr>
            </w:pPr>
            <w:r w:rsidRPr="00047B60">
              <w:rPr>
                <w:color w:val="211D1E"/>
              </w:rPr>
              <w:t>0.16</w:t>
            </w:r>
          </w:p>
        </w:tc>
        <w:tc>
          <w:tcPr>
            <w:tcW w:w="637" w:type="dxa"/>
          </w:tcPr>
          <w:p w:rsidR="00047B60" w:rsidRPr="00047B60" w:rsidRDefault="00047B60" w:rsidP="00A4354E">
            <w:pPr>
              <w:pStyle w:val="Default"/>
              <w:rPr>
                <w:color w:val="211D1E"/>
              </w:rPr>
            </w:pPr>
            <w:r w:rsidRPr="00047B60">
              <w:rPr>
                <w:color w:val="211D1E"/>
              </w:rPr>
              <w:t>0.19</w:t>
            </w:r>
          </w:p>
        </w:tc>
      </w:tr>
    </w:tbl>
    <w:p w:rsidR="00047B60" w:rsidRPr="00047B60" w:rsidRDefault="00047B60" w:rsidP="00047B60">
      <w:pPr>
        <w:pStyle w:val="Default"/>
      </w:pPr>
    </w:p>
    <w:p w:rsidR="00047B60" w:rsidRPr="00047B60" w:rsidRDefault="00047B60" w:rsidP="00047B60">
      <w:pPr>
        <w:autoSpaceDE w:val="0"/>
        <w:autoSpaceDN w:val="0"/>
        <w:adjustRightInd w:val="0"/>
        <w:spacing w:after="0" w:line="240" w:lineRule="auto"/>
        <w:rPr>
          <w:rFonts w:ascii="STIX" w:hAnsi="STIX" w:cs="STIX"/>
          <w:color w:val="000000"/>
          <w:sz w:val="24"/>
          <w:szCs w:val="24"/>
        </w:rPr>
      </w:pPr>
    </w:p>
    <w:p w:rsidR="00047B60" w:rsidRPr="00047B60" w:rsidRDefault="00047B60" w:rsidP="00047B60">
      <w:pPr>
        <w:autoSpaceDE w:val="0"/>
        <w:autoSpaceDN w:val="0"/>
        <w:adjustRightInd w:val="0"/>
        <w:spacing w:after="0" w:line="180" w:lineRule="atLeast"/>
        <w:jc w:val="both"/>
        <w:rPr>
          <w:rFonts w:ascii="STIX" w:hAnsi="STIX" w:cs="STIX"/>
          <w:color w:val="211D1E"/>
          <w:sz w:val="24"/>
          <w:szCs w:val="24"/>
        </w:rPr>
      </w:pPr>
      <w:r w:rsidRPr="00047B60">
        <w:rPr>
          <w:rFonts w:ascii="STIX" w:hAnsi="STIX" w:cs="STIX"/>
          <w:b/>
          <w:bCs/>
          <w:color w:val="211D1E"/>
          <w:sz w:val="24"/>
          <w:szCs w:val="24"/>
        </w:rPr>
        <w:t xml:space="preserve">(a) </w:t>
      </w:r>
      <w:r w:rsidRPr="00047B60">
        <w:rPr>
          <w:rFonts w:ascii="STIX" w:hAnsi="STIX" w:cs="STIX"/>
          <w:color w:val="211D1E"/>
          <w:sz w:val="24"/>
          <w:szCs w:val="24"/>
        </w:rPr>
        <w:t>Develop a MATLAB function that employs an appro</w:t>
      </w:r>
      <w:r w:rsidRPr="00047B60">
        <w:rPr>
          <w:rFonts w:ascii="STIX" w:hAnsi="STIX" w:cs="STIX"/>
          <w:color w:val="211D1E"/>
          <w:sz w:val="24"/>
          <w:szCs w:val="24"/>
        </w:rPr>
        <w:softHyphen/>
        <w:t xml:space="preserve">priate interpolation function to return a value of </w:t>
      </w:r>
      <w:r w:rsidRPr="00047B60">
        <w:rPr>
          <w:rFonts w:ascii="STIX" w:hAnsi="STIX" w:cs="STIX"/>
          <w:i/>
          <w:iCs/>
          <w:color w:val="211D1E"/>
          <w:sz w:val="24"/>
          <w:szCs w:val="24"/>
        </w:rPr>
        <w:t>C</w:t>
      </w:r>
      <w:r w:rsidRPr="00047B60">
        <w:rPr>
          <w:rFonts w:ascii="STIX" w:hAnsi="STIX" w:cs="STIX"/>
          <w:i/>
          <w:iCs/>
          <w:color w:val="211D1E"/>
          <w:sz w:val="32"/>
          <w:szCs w:val="24"/>
          <w:vertAlign w:val="subscript"/>
        </w:rPr>
        <w:t>D</w:t>
      </w:r>
      <w:r w:rsidRPr="00047B60">
        <w:rPr>
          <w:rFonts w:ascii="STIX" w:hAnsi="STIX" w:cs="STIX"/>
          <w:i/>
          <w:iCs/>
          <w:color w:val="211D1E"/>
          <w:sz w:val="24"/>
          <w:szCs w:val="24"/>
        </w:rPr>
        <w:t xml:space="preserve"> </w:t>
      </w:r>
      <w:r w:rsidRPr="00047B60">
        <w:rPr>
          <w:rFonts w:ascii="STIX" w:hAnsi="STIX" w:cs="STIX"/>
          <w:color w:val="211D1E"/>
          <w:sz w:val="24"/>
          <w:szCs w:val="24"/>
        </w:rPr>
        <w:t>as a function of the Reynolds number. The first line of the func</w:t>
      </w:r>
      <w:r w:rsidRPr="00047B60">
        <w:rPr>
          <w:rFonts w:ascii="STIX" w:hAnsi="STIX" w:cs="STIX"/>
          <w:color w:val="211D1E"/>
          <w:sz w:val="24"/>
          <w:szCs w:val="24"/>
        </w:rPr>
        <w:softHyphen/>
        <w:t xml:space="preserve">tion should be </w:t>
      </w:r>
    </w:p>
    <w:p w:rsidR="00047B60" w:rsidRPr="00AF2AF6" w:rsidRDefault="00047B60" w:rsidP="00047B60">
      <w:pPr>
        <w:autoSpaceDE w:val="0"/>
        <w:autoSpaceDN w:val="0"/>
        <w:adjustRightInd w:val="0"/>
        <w:spacing w:before="160" w:after="180" w:line="180" w:lineRule="atLeast"/>
        <w:ind w:left="300" w:hanging="300"/>
        <w:jc w:val="center"/>
        <w:rPr>
          <w:rFonts w:ascii="Courier New" w:hAnsi="Courier New" w:cs="STIX"/>
          <w:color w:val="211D1E"/>
          <w:sz w:val="24"/>
          <w:szCs w:val="24"/>
        </w:rPr>
      </w:pPr>
      <w:r w:rsidRPr="00AF2AF6">
        <w:rPr>
          <w:rFonts w:ascii="Courier New" w:hAnsi="Courier New" w:cs="STIX"/>
          <w:color w:val="211D1E"/>
          <w:sz w:val="24"/>
          <w:szCs w:val="24"/>
        </w:rPr>
        <w:t xml:space="preserve">function CDout = Drag(ReCD,ReIn) </w:t>
      </w:r>
    </w:p>
    <w:p w:rsidR="00047B60" w:rsidRPr="00047B60" w:rsidRDefault="00047B60" w:rsidP="00047B60">
      <w:pPr>
        <w:autoSpaceDE w:val="0"/>
        <w:autoSpaceDN w:val="0"/>
        <w:adjustRightInd w:val="0"/>
        <w:spacing w:after="0" w:line="180" w:lineRule="atLeast"/>
        <w:jc w:val="both"/>
        <w:rPr>
          <w:rFonts w:ascii="STIX" w:hAnsi="STIX" w:cs="STIX"/>
          <w:color w:val="211D1E"/>
          <w:sz w:val="24"/>
          <w:szCs w:val="24"/>
        </w:rPr>
      </w:pPr>
      <w:r w:rsidRPr="00047B60">
        <w:rPr>
          <w:rFonts w:ascii="STIX" w:hAnsi="STIX" w:cs="STIX"/>
          <w:color w:val="211D1E"/>
          <w:sz w:val="24"/>
          <w:szCs w:val="24"/>
        </w:rPr>
        <w:t xml:space="preserve">where </w:t>
      </w:r>
      <w:r w:rsidRPr="00AF2AF6">
        <w:rPr>
          <w:rFonts w:ascii="Courier New" w:hAnsi="Courier New" w:cs="STIX"/>
          <w:color w:val="211D1E"/>
          <w:sz w:val="24"/>
          <w:szCs w:val="24"/>
        </w:rPr>
        <w:t>ReCD</w:t>
      </w:r>
      <w:r w:rsidRPr="00047B60">
        <w:rPr>
          <w:rFonts w:ascii="STIX" w:hAnsi="STIX" w:cs="STIX"/>
          <w:color w:val="211D1E"/>
          <w:sz w:val="24"/>
          <w:szCs w:val="24"/>
        </w:rPr>
        <w:t xml:space="preserve"> = a 2-row matrix containing the table, </w:t>
      </w:r>
      <w:r w:rsidRPr="00AF2AF6">
        <w:rPr>
          <w:rFonts w:ascii="Courier New" w:hAnsi="Courier New" w:cs="STIX"/>
          <w:color w:val="211D1E"/>
          <w:sz w:val="24"/>
          <w:szCs w:val="24"/>
        </w:rPr>
        <w:t>ReIn</w:t>
      </w:r>
      <w:r w:rsidRPr="00047B60">
        <w:rPr>
          <w:rFonts w:ascii="STIX" w:hAnsi="STIX" w:cs="STIX"/>
          <w:color w:val="211D1E"/>
          <w:sz w:val="24"/>
          <w:szCs w:val="24"/>
        </w:rPr>
        <w:t xml:space="preserve"> = the Reynolds number at which you want to estimate the drag, and </w:t>
      </w:r>
      <w:r w:rsidRPr="00AF2AF6">
        <w:rPr>
          <w:rFonts w:ascii="Courier New" w:hAnsi="Courier New" w:cs="STIX"/>
          <w:color w:val="211D1E"/>
          <w:sz w:val="24"/>
          <w:szCs w:val="24"/>
        </w:rPr>
        <w:t>CDout</w:t>
      </w:r>
      <w:r w:rsidRPr="00047B60">
        <w:rPr>
          <w:rFonts w:ascii="STIX" w:hAnsi="STIX" w:cs="STIX"/>
          <w:color w:val="211D1E"/>
          <w:sz w:val="24"/>
          <w:szCs w:val="24"/>
        </w:rPr>
        <w:t xml:space="preserve"> = the corresponding drag coefficient. </w:t>
      </w:r>
    </w:p>
    <w:p w:rsidR="00047B60" w:rsidRDefault="00047B60" w:rsidP="00047B60">
      <w:pPr>
        <w:pStyle w:val="Default"/>
        <w:rPr>
          <w:b/>
          <w:bCs/>
          <w:color w:val="211D1E"/>
        </w:rPr>
      </w:pPr>
    </w:p>
    <w:p w:rsidR="00047B60" w:rsidRPr="00047B60" w:rsidRDefault="00047B60" w:rsidP="00047B60">
      <w:pPr>
        <w:pStyle w:val="Default"/>
      </w:pPr>
      <w:r w:rsidRPr="00047B60">
        <w:rPr>
          <w:b/>
          <w:bCs/>
          <w:color w:val="211D1E"/>
        </w:rPr>
        <w:t xml:space="preserve">(b) </w:t>
      </w:r>
      <w:r w:rsidRPr="00047B60">
        <w:rPr>
          <w:color w:val="211D1E"/>
        </w:rPr>
        <w:t xml:space="preserve">Write a script that uses the function developed in part </w:t>
      </w:r>
      <w:r w:rsidRPr="00047B60">
        <w:rPr>
          <w:b/>
          <w:bCs/>
          <w:color w:val="211D1E"/>
        </w:rPr>
        <w:t xml:space="preserve">(a) </w:t>
      </w:r>
      <w:r w:rsidRPr="00047B60">
        <w:rPr>
          <w:color w:val="211D1E"/>
        </w:rPr>
        <w:t>to generate a labeled plot of the drag force ver</w:t>
      </w:r>
      <w:r w:rsidRPr="00047B60">
        <w:rPr>
          <w:color w:val="211D1E"/>
        </w:rPr>
        <w:softHyphen/>
        <w:t>sus velocity (recall Sec. 1.4). Use the following param</w:t>
      </w:r>
      <w:r w:rsidRPr="00047B60">
        <w:rPr>
          <w:color w:val="211D1E"/>
        </w:rPr>
        <w:softHyphen/>
        <w:t xml:space="preserve">eter values for the script: </w:t>
      </w:r>
      <w:r w:rsidRPr="00047B60">
        <w:rPr>
          <w:i/>
          <w:iCs/>
          <w:color w:val="211D1E"/>
        </w:rPr>
        <w:t xml:space="preserve">D </w:t>
      </w:r>
      <w:r w:rsidRPr="00047B60">
        <w:rPr>
          <w:color w:val="211D1E"/>
        </w:rPr>
        <w:t xml:space="preserve">= 22 cm, </w:t>
      </w:r>
      <w:r w:rsidRPr="00047B60">
        <w:rPr>
          <w:i/>
          <w:iCs/>
          <w:color w:val="211D1E"/>
        </w:rPr>
        <w:t xml:space="preserve">ρ </w:t>
      </w:r>
      <w:r w:rsidRPr="00047B60">
        <w:rPr>
          <w:color w:val="211D1E"/>
        </w:rPr>
        <w:t>= 1.3 kg/m</w:t>
      </w:r>
      <w:r w:rsidRPr="00047B60">
        <w:rPr>
          <w:color w:val="211D1E"/>
          <w:sz w:val="32"/>
          <w:vertAlign w:val="superscript"/>
        </w:rPr>
        <w:t>3</w:t>
      </w:r>
      <w:r w:rsidRPr="00047B60">
        <w:rPr>
          <w:color w:val="211D1E"/>
        </w:rPr>
        <w:t xml:space="preserve">, and </w:t>
      </w:r>
      <w:r w:rsidRPr="00047B60">
        <w:rPr>
          <w:i/>
          <w:iCs/>
          <w:color w:val="211D1E"/>
        </w:rPr>
        <w:t xml:space="preserve">μ </w:t>
      </w:r>
      <w:r w:rsidRPr="00047B60">
        <w:rPr>
          <w:color w:val="211D1E"/>
        </w:rPr>
        <w:t>= 1.78 × 10</w:t>
      </w:r>
      <w:r w:rsidRPr="00047B60">
        <w:rPr>
          <w:color w:val="211D1E"/>
          <w:sz w:val="32"/>
          <w:vertAlign w:val="superscript"/>
        </w:rPr>
        <w:t>−5</w:t>
      </w:r>
      <w:r w:rsidRPr="00047B60">
        <w:rPr>
          <w:color w:val="211D1E"/>
        </w:rPr>
        <w:t xml:space="preserve"> Pa · s. Employ a range of velocities from 4 to 40 m/s for your plot. </w:t>
      </w:r>
    </w:p>
    <w:sectPr w:rsidR="00047B60" w:rsidRPr="00047B60"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5F76"/>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2AF6"/>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2017-03-19T20:32:00Z</dcterms:created>
  <dcterms:modified xsi:type="dcterms:W3CDTF">2017-04-02T20:53:00Z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