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A0CFC">
        <w:rPr>
          <w:b/>
          <w:noProof/>
          <w:sz w:val="20"/>
          <w:szCs w:val="20"/>
        </w:rPr>
        <w:t>8.2</w:t>
      </w:r>
    </w:p>
    <w:p w:rsidR="008910FE" w:rsidRDefault="008910FE" w:rsidP="001B2705">
      <w:pPr>
        <w:pStyle w:val="Default"/>
        <w:rPr>
          <w:b/>
          <w:noProof/>
          <w:sz w:val="20"/>
          <w:szCs w:val="20"/>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The simultaneous equations for the clamped spline with zero end slopes can be set up as</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position w:val="-124"/>
          <w:sz w:val="20"/>
          <w:szCs w:val="24"/>
        </w:rPr>
        <w:object w:dxaOrig="5140" w:dyaOrig="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57.25pt;height:129.75pt" o:ole="">
            <v:imagedata r:id="rId8" o:title=""/>
          </v:shape>
          <o:OLEObject Type="Embed" ProgID="Equation.DSMT4" ShapeID="_x0000_i1066" DrawAspect="Content" ObjectID="_1552474387" r:id="rId9"/>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 xml:space="preserve">These equations can be solved for the </w:t>
      </w:r>
      <w:r w:rsidRPr="008A0CFC">
        <w:rPr>
          <w:rFonts w:ascii="STIX" w:eastAsia="Times New Roman" w:hAnsi="STIX"/>
          <w:i/>
          <w:sz w:val="20"/>
          <w:szCs w:val="24"/>
        </w:rPr>
        <w:t>c</w:t>
      </w:r>
      <w:r w:rsidRPr="008A0CFC">
        <w:rPr>
          <w:rFonts w:ascii="STIX" w:eastAsia="Times New Roman" w:hAnsi="STIX"/>
          <w:sz w:val="20"/>
          <w:szCs w:val="24"/>
        </w:rPr>
        <w:t xml:space="preserve">’s and then Eqs. </w:t>
      </w:r>
      <w:r w:rsidRPr="008A0CFC">
        <w:rPr>
          <w:rFonts w:ascii="Courier New" w:eastAsia="Times New Roman" w:hAnsi="Courier New"/>
          <w:sz w:val="20"/>
          <w:szCs w:val="24"/>
        </w:rPr>
        <w:t>(</w:t>
      </w:r>
      <w:r w:rsidRPr="008A0CFC">
        <w:rPr>
          <w:rFonts w:ascii="STIX" w:eastAsia="Times New Roman" w:hAnsi="STIX"/>
          <w:sz w:val="20"/>
          <w:szCs w:val="24"/>
        </w:rPr>
        <w:t>18.21</w:t>
      </w:r>
      <w:r w:rsidRPr="008A0CFC">
        <w:rPr>
          <w:rFonts w:ascii="Courier New" w:eastAsia="Times New Roman" w:hAnsi="Courier New"/>
          <w:sz w:val="20"/>
          <w:szCs w:val="24"/>
        </w:rPr>
        <w:t>)</w:t>
      </w:r>
      <w:r w:rsidRPr="008A0CFC">
        <w:rPr>
          <w:rFonts w:ascii="STIX" w:eastAsia="Times New Roman" w:hAnsi="STIX"/>
          <w:sz w:val="20"/>
          <w:szCs w:val="24"/>
        </w:rPr>
        <w:t xml:space="preserve"> and </w:t>
      </w:r>
      <w:r w:rsidRPr="008A0CFC">
        <w:rPr>
          <w:rFonts w:ascii="Courier New" w:eastAsia="Times New Roman" w:hAnsi="Courier New"/>
          <w:sz w:val="20"/>
          <w:szCs w:val="24"/>
        </w:rPr>
        <w:t>(</w:t>
      </w:r>
      <w:r w:rsidRPr="008A0CFC">
        <w:rPr>
          <w:rFonts w:ascii="STIX" w:eastAsia="Times New Roman" w:hAnsi="STIX"/>
          <w:sz w:val="20"/>
          <w:szCs w:val="24"/>
        </w:rPr>
        <w:t>18.18</w:t>
      </w:r>
      <w:r w:rsidRPr="008A0CFC">
        <w:rPr>
          <w:rFonts w:ascii="Courier New" w:eastAsia="Times New Roman" w:hAnsi="Courier New"/>
          <w:sz w:val="20"/>
          <w:szCs w:val="24"/>
        </w:rPr>
        <w:t>)</w:t>
      </w:r>
      <w:r w:rsidRPr="008A0CFC">
        <w:rPr>
          <w:rFonts w:ascii="STIX" w:eastAsia="Times New Roman" w:hAnsi="STIX"/>
          <w:sz w:val="20"/>
          <w:szCs w:val="24"/>
        </w:rPr>
        <w:t xml:space="preserve"> can be used to solve for the </w:t>
      </w:r>
      <w:r w:rsidRPr="008A0CFC">
        <w:rPr>
          <w:rFonts w:ascii="STIX" w:eastAsia="Times New Roman" w:hAnsi="STIX"/>
          <w:i/>
          <w:sz w:val="20"/>
          <w:szCs w:val="24"/>
        </w:rPr>
        <w:t>b</w:t>
      </w:r>
      <w:r w:rsidRPr="008A0CFC">
        <w:rPr>
          <w:rFonts w:ascii="STIX" w:eastAsia="Times New Roman" w:hAnsi="STIX"/>
          <w:sz w:val="20"/>
          <w:szCs w:val="24"/>
        </w:rPr>
        <w:t xml:space="preserve">’s and the </w:t>
      </w:r>
      <w:r w:rsidRPr="008A0CFC">
        <w:rPr>
          <w:rFonts w:ascii="STIX" w:eastAsia="Times New Roman" w:hAnsi="STIX"/>
          <w:i/>
          <w:sz w:val="20"/>
          <w:szCs w:val="24"/>
        </w:rPr>
        <w:t>d</w:t>
      </w:r>
      <w:r w:rsidRPr="008A0CFC">
        <w:rPr>
          <w:rFonts w:ascii="STIX" w:eastAsia="Times New Roman" w:hAnsi="STIX"/>
          <w:sz w:val="20"/>
          <w:szCs w:val="24"/>
        </w:rPr>
        <w:t>’s. The coefficients for the intervals can be summarized as</w:t>
      </w:r>
    </w:p>
    <w:p w:rsidR="008A0CFC" w:rsidRPr="008A0CFC" w:rsidRDefault="008A0CFC" w:rsidP="008A0CFC">
      <w:pPr>
        <w:spacing w:after="0" w:line="240" w:lineRule="auto"/>
        <w:rPr>
          <w:rFonts w:ascii="STIX" w:eastAsia="Times New Roman" w:hAnsi="STIX"/>
          <w:sz w:val="20"/>
          <w:szCs w:val="24"/>
        </w:rPr>
      </w:pPr>
    </w:p>
    <w:tbl>
      <w:tblPr>
        <w:tblW w:w="5181" w:type="dxa"/>
        <w:tblInd w:w="648" w:type="dxa"/>
        <w:tblLook w:val="0000"/>
      </w:tblPr>
      <w:tblGrid>
        <w:gridCol w:w="861"/>
        <w:gridCol w:w="900"/>
        <w:gridCol w:w="1080"/>
        <w:gridCol w:w="1080"/>
        <w:gridCol w:w="1260"/>
      </w:tblGrid>
      <w:tr w:rsidR="008A0CFC" w:rsidRPr="008A0CFC" w:rsidTr="00FF7247">
        <w:trPr>
          <w:trHeight w:val="144"/>
        </w:trPr>
        <w:tc>
          <w:tcPr>
            <w:tcW w:w="861" w:type="dxa"/>
            <w:tcBorders>
              <w:top w:val="single" w:sz="12" w:space="0" w:color="auto"/>
              <w:left w:val="nil"/>
              <w:bottom w:val="single" w:sz="4"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b/>
                <w:sz w:val="18"/>
                <w:szCs w:val="18"/>
              </w:rPr>
            </w:pPr>
            <w:r w:rsidRPr="008A0CFC">
              <w:rPr>
                <w:rFonts w:ascii="STIX" w:eastAsia="Times New Roman" w:hAnsi="STIX" w:cs="STIX MathJax Main"/>
                <w:b/>
                <w:sz w:val="18"/>
                <w:szCs w:val="18"/>
              </w:rPr>
              <w:t>interval</w:t>
            </w:r>
          </w:p>
        </w:tc>
        <w:tc>
          <w:tcPr>
            <w:tcW w:w="900" w:type="dxa"/>
            <w:tcBorders>
              <w:top w:val="single" w:sz="12" w:space="0" w:color="auto"/>
              <w:left w:val="nil"/>
              <w:bottom w:val="single" w:sz="4"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b/>
                <w:i/>
                <w:sz w:val="18"/>
                <w:szCs w:val="18"/>
              </w:rPr>
            </w:pPr>
            <w:r w:rsidRPr="008A0CFC">
              <w:rPr>
                <w:rFonts w:ascii="STIX" w:eastAsia="Times New Roman" w:hAnsi="STIX" w:cs="STIX MathJax Main"/>
                <w:b/>
                <w:i/>
                <w:sz w:val="18"/>
                <w:szCs w:val="18"/>
              </w:rPr>
              <w:t>a</w:t>
            </w:r>
          </w:p>
        </w:tc>
        <w:tc>
          <w:tcPr>
            <w:tcW w:w="1080" w:type="dxa"/>
            <w:tcBorders>
              <w:top w:val="single" w:sz="12" w:space="0" w:color="auto"/>
              <w:left w:val="nil"/>
              <w:bottom w:val="single" w:sz="4"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b/>
                <w:i/>
                <w:sz w:val="18"/>
                <w:szCs w:val="18"/>
              </w:rPr>
            </w:pPr>
            <w:r w:rsidRPr="008A0CFC">
              <w:rPr>
                <w:rFonts w:ascii="STIX" w:eastAsia="Times New Roman" w:hAnsi="STIX" w:cs="STIX MathJax Main"/>
                <w:b/>
                <w:i/>
                <w:sz w:val="18"/>
                <w:szCs w:val="18"/>
              </w:rPr>
              <w:t>b</w:t>
            </w:r>
          </w:p>
        </w:tc>
        <w:tc>
          <w:tcPr>
            <w:tcW w:w="1080" w:type="dxa"/>
            <w:tcBorders>
              <w:top w:val="single" w:sz="12" w:space="0" w:color="auto"/>
              <w:left w:val="nil"/>
              <w:bottom w:val="single" w:sz="4"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b/>
                <w:i/>
                <w:sz w:val="18"/>
                <w:szCs w:val="18"/>
              </w:rPr>
            </w:pPr>
            <w:r w:rsidRPr="008A0CFC">
              <w:rPr>
                <w:rFonts w:ascii="STIX" w:eastAsia="Times New Roman" w:hAnsi="STIX" w:cs="STIX MathJax Main"/>
                <w:b/>
                <w:i/>
                <w:sz w:val="18"/>
                <w:szCs w:val="18"/>
              </w:rPr>
              <w:t>c</w:t>
            </w:r>
          </w:p>
        </w:tc>
        <w:tc>
          <w:tcPr>
            <w:tcW w:w="1260" w:type="dxa"/>
            <w:tcBorders>
              <w:top w:val="single" w:sz="12" w:space="0" w:color="auto"/>
              <w:left w:val="nil"/>
              <w:bottom w:val="single" w:sz="4"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b/>
                <w:i/>
                <w:sz w:val="18"/>
                <w:szCs w:val="18"/>
              </w:rPr>
            </w:pPr>
            <w:r w:rsidRPr="008A0CFC">
              <w:rPr>
                <w:rFonts w:ascii="STIX" w:eastAsia="Times New Roman" w:hAnsi="STIX" w:cs="STIX MathJax Main"/>
                <w:b/>
                <w:i/>
                <w:sz w:val="18"/>
                <w:szCs w:val="18"/>
              </w:rPr>
              <w:t>d</w:t>
            </w:r>
          </w:p>
        </w:tc>
      </w:tr>
      <w:tr w:rsidR="008A0CFC" w:rsidRPr="008A0CFC" w:rsidTr="00FF7247">
        <w:trPr>
          <w:trHeight w:val="144"/>
        </w:trPr>
        <w:tc>
          <w:tcPr>
            <w:tcW w:w="861" w:type="dxa"/>
            <w:tcBorders>
              <w:top w:val="single" w:sz="4" w:space="0" w:color="auto"/>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w:t>
            </w:r>
          </w:p>
        </w:tc>
        <w:tc>
          <w:tcPr>
            <w:tcW w:w="900" w:type="dxa"/>
            <w:tcBorders>
              <w:top w:val="single" w:sz="4" w:space="0" w:color="auto"/>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70</w:t>
            </w:r>
          </w:p>
        </w:tc>
        <w:tc>
          <w:tcPr>
            <w:tcW w:w="1080" w:type="dxa"/>
            <w:tcBorders>
              <w:top w:val="single" w:sz="4" w:space="0" w:color="auto"/>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0</w:t>
            </w:r>
          </w:p>
        </w:tc>
        <w:tc>
          <w:tcPr>
            <w:tcW w:w="1080" w:type="dxa"/>
            <w:tcBorders>
              <w:top w:val="single" w:sz="4" w:space="0" w:color="auto"/>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15.87692</w:t>
            </w:r>
          </w:p>
        </w:tc>
        <w:tc>
          <w:tcPr>
            <w:tcW w:w="1260" w:type="dxa"/>
            <w:tcBorders>
              <w:top w:val="single" w:sz="4" w:space="0" w:color="auto"/>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31.7538</w:t>
            </w:r>
          </w:p>
        </w:tc>
      </w:tr>
      <w:tr w:rsidR="008A0CFC" w:rsidRPr="008A0CFC" w:rsidTr="00FF7247">
        <w:trPr>
          <w:trHeight w:val="144"/>
        </w:trPr>
        <w:tc>
          <w:tcPr>
            <w:tcW w:w="861"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2</w:t>
            </w:r>
          </w:p>
        </w:tc>
        <w:tc>
          <w:tcPr>
            <w:tcW w:w="90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70</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7.93846</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31.7538</w:t>
            </w:r>
          </w:p>
        </w:tc>
        <w:tc>
          <w:tcPr>
            <w:tcW w:w="126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24.7385</w:t>
            </w:r>
          </w:p>
        </w:tc>
      </w:tr>
      <w:tr w:rsidR="008A0CFC" w:rsidRPr="008A0CFC" w:rsidTr="00FF7247">
        <w:trPr>
          <w:trHeight w:val="144"/>
        </w:trPr>
        <w:tc>
          <w:tcPr>
            <w:tcW w:w="861"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3</w:t>
            </w:r>
          </w:p>
        </w:tc>
        <w:tc>
          <w:tcPr>
            <w:tcW w:w="90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55</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58.2462</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68.8615</w:t>
            </w:r>
          </w:p>
        </w:tc>
        <w:tc>
          <w:tcPr>
            <w:tcW w:w="126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106.7077</w:t>
            </w:r>
          </w:p>
        </w:tc>
      </w:tr>
      <w:tr w:rsidR="008A0CFC" w:rsidRPr="008A0CFC" w:rsidTr="00FF7247">
        <w:trPr>
          <w:trHeight w:val="144"/>
        </w:trPr>
        <w:tc>
          <w:tcPr>
            <w:tcW w:w="861"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4</w:t>
            </w:r>
          </w:p>
        </w:tc>
        <w:tc>
          <w:tcPr>
            <w:tcW w:w="90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22</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47.0769</w:t>
            </w:r>
          </w:p>
        </w:tc>
        <w:tc>
          <w:tcPr>
            <w:tcW w:w="108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91.2</w:t>
            </w:r>
          </w:p>
        </w:tc>
        <w:tc>
          <w:tcPr>
            <w:tcW w:w="1260" w:type="dxa"/>
            <w:tcBorders>
              <w:top w:val="nil"/>
              <w:left w:val="nil"/>
              <w:bottom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66.0923</w:t>
            </w:r>
          </w:p>
        </w:tc>
      </w:tr>
      <w:tr w:rsidR="008A0CFC" w:rsidRPr="008A0CFC" w:rsidTr="00FF7247">
        <w:trPr>
          <w:trHeight w:val="144"/>
        </w:trPr>
        <w:tc>
          <w:tcPr>
            <w:tcW w:w="861" w:type="dxa"/>
            <w:tcBorders>
              <w:top w:val="nil"/>
              <w:left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5</w:t>
            </w:r>
          </w:p>
        </w:tc>
        <w:tc>
          <w:tcPr>
            <w:tcW w:w="900" w:type="dxa"/>
            <w:tcBorders>
              <w:top w:val="nil"/>
              <w:left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13</w:t>
            </w:r>
          </w:p>
        </w:tc>
        <w:tc>
          <w:tcPr>
            <w:tcW w:w="1080" w:type="dxa"/>
            <w:tcBorders>
              <w:top w:val="nil"/>
              <w:left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5.44615</w:t>
            </w:r>
          </w:p>
        </w:tc>
        <w:tc>
          <w:tcPr>
            <w:tcW w:w="1080" w:type="dxa"/>
            <w:tcBorders>
              <w:top w:val="nil"/>
              <w:left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7.93846</w:t>
            </w:r>
          </w:p>
        </w:tc>
        <w:tc>
          <w:tcPr>
            <w:tcW w:w="1260" w:type="dxa"/>
            <w:tcBorders>
              <w:top w:val="nil"/>
              <w:left w:val="nil"/>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13.66154</w:t>
            </w:r>
          </w:p>
        </w:tc>
      </w:tr>
      <w:tr w:rsidR="008A0CFC" w:rsidRPr="008A0CFC" w:rsidTr="00FF7247">
        <w:trPr>
          <w:trHeight w:val="144"/>
        </w:trPr>
        <w:tc>
          <w:tcPr>
            <w:tcW w:w="861" w:type="dxa"/>
            <w:tcBorders>
              <w:top w:val="nil"/>
              <w:left w:val="nil"/>
              <w:bottom w:val="single" w:sz="12"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6</w:t>
            </w:r>
          </w:p>
        </w:tc>
        <w:tc>
          <w:tcPr>
            <w:tcW w:w="900" w:type="dxa"/>
            <w:tcBorders>
              <w:top w:val="nil"/>
              <w:left w:val="nil"/>
              <w:bottom w:val="single" w:sz="12"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10</w:t>
            </w:r>
          </w:p>
        </w:tc>
        <w:tc>
          <w:tcPr>
            <w:tcW w:w="1080" w:type="dxa"/>
            <w:tcBorders>
              <w:top w:val="nil"/>
              <w:left w:val="nil"/>
              <w:bottom w:val="single" w:sz="12"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3.13846</w:t>
            </w:r>
          </w:p>
        </w:tc>
        <w:tc>
          <w:tcPr>
            <w:tcW w:w="1080" w:type="dxa"/>
            <w:tcBorders>
              <w:top w:val="nil"/>
              <w:left w:val="nil"/>
              <w:bottom w:val="single" w:sz="12"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STIX" w:eastAsia="Times New Roman" w:hAnsi="STIX" w:cs="STIX MathJax Main"/>
                <w:sz w:val="18"/>
                <w:szCs w:val="18"/>
              </w:rPr>
              <w:t>12.55385</w:t>
            </w:r>
          </w:p>
        </w:tc>
        <w:tc>
          <w:tcPr>
            <w:tcW w:w="1260" w:type="dxa"/>
            <w:tcBorders>
              <w:top w:val="nil"/>
              <w:left w:val="nil"/>
              <w:bottom w:val="single" w:sz="12" w:space="0" w:color="auto"/>
              <w:right w:val="nil"/>
            </w:tcBorders>
            <w:shd w:val="clear" w:color="auto" w:fill="auto"/>
            <w:noWrap/>
            <w:vAlign w:val="center"/>
          </w:tcPr>
          <w:p w:rsidR="008A0CFC" w:rsidRPr="008A0CFC" w:rsidRDefault="008A0CFC" w:rsidP="008A0CFC">
            <w:pPr>
              <w:spacing w:after="0" w:line="240" w:lineRule="auto"/>
              <w:jc w:val="center"/>
              <w:rPr>
                <w:rFonts w:ascii="STIX MathJax Main" w:eastAsia="Times New Roman" w:hAnsi="STIX MathJax Main" w:cs="STIX MathJax Main"/>
                <w:sz w:val="18"/>
                <w:szCs w:val="18"/>
              </w:rPr>
            </w:pPr>
            <w:r w:rsidRPr="008A0CFC">
              <w:rPr>
                <w:rFonts w:ascii="Courier New" w:eastAsia="Times New Roman" w:hAnsi="Courier New" w:cs="STIX MathJax Main"/>
                <w:sz w:val="18"/>
                <w:szCs w:val="18"/>
              </w:rPr>
              <w:t>–</w:t>
            </w:r>
            <w:r w:rsidRPr="008A0CFC">
              <w:rPr>
                <w:rFonts w:ascii="STIX" w:eastAsia="Times New Roman" w:hAnsi="STIX" w:cs="STIX MathJax Main"/>
                <w:sz w:val="18"/>
                <w:szCs w:val="18"/>
              </w:rPr>
              <w:t>12.5538</w:t>
            </w:r>
          </w:p>
        </w:tc>
      </w:tr>
    </w:tbl>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The fit can be displayed in graphical form. Note that we are plotting the points as depth versus temperature so that the graph depicts how the temperature changes down through the tank.</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drawing>
          <wp:inline distT="0" distB="0" distL="0" distR="0">
            <wp:extent cx="1506855" cy="153606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506855" cy="1536065"/>
                    </a:xfrm>
                    <a:prstGeom prst="rect">
                      <a:avLst/>
                    </a:prstGeom>
                    <a:noFill/>
                    <a:ln w="9525">
                      <a:noFill/>
                      <a:miter lim="800000"/>
                      <a:headEnd/>
                      <a:tailEnd/>
                    </a:ln>
                  </pic:spPr>
                </pic:pic>
              </a:graphicData>
            </a:graphic>
          </wp:inline>
        </w:drawing>
      </w:r>
    </w:p>
    <w:p w:rsidR="008A0CFC" w:rsidRPr="008A0CFC" w:rsidRDefault="008A0CFC" w:rsidP="008A0CFC">
      <w:pPr>
        <w:spacing w:after="0" w:line="240" w:lineRule="auto"/>
        <w:rPr>
          <w:rFonts w:ascii="STIX" w:eastAsia="Times New Roman" w:hAnsi="STIX"/>
          <w:sz w:val="20"/>
          <w:szCs w:val="24"/>
        </w:rPr>
      </w:pPr>
    </w:p>
    <w:p w:rsidR="008A0CFC" w:rsidRDefault="008A0CFC" w:rsidP="008A0CFC">
      <w:pPr>
        <w:spacing w:after="0" w:line="240" w:lineRule="auto"/>
        <w:rPr>
          <w:rFonts w:ascii="STIX" w:hAnsi="STIX" w:cs="STIX"/>
          <w:i/>
          <w:sz w:val="20"/>
          <w:szCs w:val="20"/>
        </w:rPr>
      </w:pPr>
    </w:p>
    <w:p w:rsidR="008A0CFC" w:rsidRDefault="008A0CFC" w:rsidP="008A0CFC">
      <w:pPr>
        <w:spacing w:after="0" w:line="240" w:lineRule="auto"/>
        <w:rPr>
          <w:rFonts w:ascii="STIX" w:hAnsi="STIX" w:cs="STIX"/>
          <w:i/>
          <w:sz w:val="20"/>
          <w:szCs w:val="20"/>
        </w:rPr>
      </w:pPr>
    </w:p>
    <w:p w:rsidR="008A0CFC" w:rsidRDefault="008A0CFC" w:rsidP="008A0CFC">
      <w:pPr>
        <w:spacing w:after="0" w:line="240" w:lineRule="auto"/>
        <w:rPr>
          <w:rFonts w:ascii="STIX" w:hAnsi="STIX" w:cs="STIX"/>
          <w:i/>
          <w:sz w:val="20"/>
          <w:szCs w:val="20"/>
        </w:rPr>
        <w:sectPr w:rsidR="008A0CFC"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Inspection of the plot indicates that the inflection point occurs in the 3</w:t>
      </w:r>
      <w:r w:rsidRPr="008A0CFC">
        <w:rPr>
          <w:rFonts w:ascii="STIX" w:eastAsia="Times New Roman" w:hAnsi="STIX"/>
          <w:sz w:val="20"/>
          <w:szCs w:val="24"/>
          <w:vertAlign w:val="superscript"/>
        </w:rPr>
        <w:t>rd</w:t>
      </w:r>
      <w:r w:rsidRPr="008A0CFC">
        <w:rPr>
          <w:rFonts w:ascii="STIX" w:eastAsia="Times New Roman" w:hAnsi="STIX"/>
          <w:sz w:val="20"/>
          <w:szCs w:val="24"/>
        </w:rPr>
        <w:t xml:space="preserve"> interval. The cubic equation for this interval is</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 xml:space="preserve"> </w:t>
      </w:r>
      <w:r w:rsidRPr="008A0CFC">
        <w:rPr>
          <w:rFonts w:ascii="STIX" w:eastAsia="Times New Roman" w:hAnsi="STIX"/>
          <w:position w:val="-12"/>
          <w:sz w:val="20"/>
          <w:szCs w:val="24"/>
        </w:rPr>
        <w:object w:dxaOrig="5840" w:dyaOrig="400">
          <v:shape id="_x0000_i1067" type="#_x0000_t75" style="width:291.75pt;height:20.25pt" o:ole="">
            <v:imagedata r:id="rId12" o:title=""/>
          </v:shape>
          <o:OLEObject Type="Embed" ProgID="Equation.DSMT4" ShapeID="_x0000_i1067" DrawAspect="Content" ObjectID="_1552474388" r:id="rId13"/>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 xml:space="preserve">where </w:t>
      </w:r>
      <w:r w:rsidRPr="008A0CFC">
        <w:rPr>
          <w:rFonts w:ascii="STIX" w:eastAsia="Times New Roman" w:hAnsi="STIX"/>
          <w:i/>
          <w:sz w:val="20"/>
          <w:szCs w:val="24"/>
        </w:rPr>
        <w:t>T</w:t>
      </w:r>
      <w:r w:rsidRPr="008A0CFC">
        <w:rPr>
          <w:rFonts w:ascii="STIX" w:eastAsia="Times New Roman" w:hAnsi="STIX"/>
          <w:sz w:val="20"/>
          <w:szCs w:val="24"/>
        </w:rPr>
        <w:t xml:space="preserve"> </w:t>
      </w:r>
      <w:r w:rsidRPr="008A0CFC">
        <w:rPr>
          <w:rFonts w:ascii="Courier New" w:eastAsia="Times New Roman" w:hAnsi="Courier New"/>
          <w:sz w:val="20"/>
          <w:szCs w:val="24"/>
        </w:rPr>
        <w:t>=</w:t>
      </w:r>
      <w:r w:rsidRPr="008A0CFC">
        <w:rPr>
          <w:rFonts w:ascii="STIX" w:eastAsia="Times New Roman" w:hAnsi="STIX"/>
          <w:sz w:val="20"/>
          <w:szCs w:val="24"/>
        </w:rPr>
        <w:t xml:space="preserve"> temperature and </w:t>
      </w:r>
      <w:r w:rsidRPr="008A0CFC">
        <w:rPr>
          <w:rFonts w:ascii="STIX" w:eastAsia="Times New Roman" w:hAnsi="STIX"/>
          <w:i/>
          <w:sz w:val="20"/>
          <w:szCs w:val="24"/>
        </w:rPr>
        <w:t>x</w:t>
      </w:r>
      <w:r w:rsidRPr="008A0CFC">
        <w:rPr>
          <w:rFonts w:ascii="STIX" w:eastAsia="Times New Roman" w:hAnsi="STIX"/>
          <w:sz w:val="20"/>
          <w:szCs w:val="24"/>
        </w:rPr>
        <w:t xml:space="preserve"> </w:t>
      </w:r>
      <w:r w:rsidRPr="008A0CFC">
        <w:rPr>
          <w:rFonts w:ascii="Courier New" w:eastAsia="Times New Roman" w:hAnsi="Courier New"/>
          <w:sz w:val="20"/>
          <w:szCs w:val="24"/>
        </w:rPr>
        <w:t>=</w:t>
      </w:r>
      <w:r w:rsidRPr="008A0CFC">
        <w:rPr>
          <w:rFonts w:ascii="STIX" w:eastAsia="Times New Roman" w:hAnsi="STIX"/>
          <w:sz w:val="20"/>
          <w:szCs w:val="24"/>
        </w:rPr>
        <w:t xml:space="preserve"> depth. This equation can be differentiated to yield the first derivative</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position w:val="-24"/>
          <w:sz w:val="20"/>
          <w:szCs w:val="24"/>
        </w:rPr>
        <w:object w:dxaOrig="5179" w:dyaOrig="660">
          <v:shape id="_x0000_i1068" type="#_x0000_t75" style="width:258.75pt;height:33pt" o:ole="">
            <v:imagedata r:id="rId14" o:title=""/>
          </v:shape>
          <o:OLEObject Type="Embed" ProgID="Equation.DSMT4" ShapeID="_x0000_i1068" DrawAspect="Content" ObjectID="_1552474389" r:id="rId15"/>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and differentiated again to yield the second derivative</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position w:val="-24"/>
          <w:sz w:val="20"/>
          <w:szCs w:val="24"/>
        </w:rPr>
        <w:object w:dxaOrig="3660" w:dyaOrig="680">
          <v:shape id="_x0000_i1069" type="#_x0000_t75" style="width:183pt;height:33.75pt" o:ole="">
            <v:imagedata r:id="rId16" o:title=""/>
          </v:shape>
          <o:OLEObject Type="Embed" ProgID="Equation.DSMT4" ShapeID="_x0000_i1069" DrawAspect="Content" ObjectID="_1552474390" r:id="rId17"/>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 xml:space="preserve">This can be set equal to zero and solved for the depth of the thermocline as </w:t>
      </w:r>
      <w:r w:rsidRPr="008A0CFC">
        <w:rPr>
          <w:rFonts w:ascii="STIX" w:eastAsia="Times New Roman" w:hAnsi="STIX"/>
          <w:i/>
          <w:sz w:val="20"/>
          <w:szCs w:val="24"/>
        </w:rPr>
        <w:t>x</w:t>
      </w:r>
      <w:r w:rsidRPr="008A0CFC">
        <w:rPr>
          <w:rFonts w:ascii="STIX" w:eastAsia="Times New Roman" w:hAnsi="STIX"/>
          <w:sz w:val="20"/>
          <w:szCs w:val="24"/>
        </w:rPr>
        <w:t xml:space="preserve"> </w:t>
      </w:r>
      <w:r w:rsidRPr="008A0CFC">
        <w:rPr>
          <w:rFonts w:ascii="Courier New" w:eastAsia="Times New Roman" w:hAnsi="Courier New"/>
          <w:sz w:val="20"/>
          <w:szCs w:val="24"/>
        </w:rPr>
        <w:t>=</w:t>
      </w:r>
      <w:r w:rsidRPr="008A0CFC">
        <w:rPr>
          <w:rFonts w:ascii="STIX" w:eastAsia="Times New Roman" w:hAnsi="STIX"/>
          <w:sz w:val="20"/>
          <w:szCs w:val="24"/>
        </w:rPr>
        <w:t xml:space="preserve"> 1.21511 m. The value of the gradient at that depth is</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position w:val="-24"/>
          <w:sz w:val="20"/>
          <w:szCs w:val="24"/>
        </w:rPr>
        <w:object w:dxaOrig="7800" w:dyaOrig="660">
          <v:shape id="_x0000_i1070" type="#_x0000_t75" style="width:390pt;height:33pt" o:ole="">
            <v:imagedata r:id="rId18" o:title=""/>
          </v:shape>
          <o:OLEObject Type="Embed" ProgID="Equation.DSMT4" ShapeID="_x0000_i1070" DrawAspect="Content" ObjectID="_1552474391" r:id="rId19"/>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The heat flux can then be computed with Fick’s law as</w: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position w:val="-30"/>
          <w:sz w:val="20"/>
          <w:szCs w:val="24"/>
        </w:rPr>
        <w:object w:dxaOrig="6180" w:dyaOrig="720">
          <v:shape id="_x0000_i1071" type="#_x0000_t75" style="width:309pt;height:36pt" o:ole="">
            <v:imagedata r:id="rId20" o:title=""/>
          </v:shape>
          <o:OLEObject Type="Embed" ProgID="Equation.DSMT4" ShapeID="_x0000_i1071" DrawAspect="Content" ObjectID="_1552474392" r:id="rId21"/>
        </w:object>
      </w:r>
    </w:p>
    <w:p w:rsidR="008A0CFC" w:rsidRPr="008A0CFC" w:rsidRDefault="008A0CFC" w:rsidP="008A0CFC">
      <w:pPr>
        <w:spacing w:after="0" w:line="240" w:lineRule="auto"/>
        <w:rPr>
          <w:rFonts w:ascii="STIX" w:eastAsia="Times New Roman" w:hAnsi="STIX"/>
          <w:sz w:val="20"/>
          <w:szCs w:val="24"/>
        </w:rPr>
      </w:pPr>
    </w:p>
    <w:p w:rsidR="008A0CFC" w:rsidRPr="008A0CFC" w:rsidRDefault="008A0CFC" w:rsidP="008A0CFC">
      <w:pPr>
        <w:spacing w:after="0" w:line="240" w:lineRule="auto"/>
        <w:rPr>
          <w:rFonts w:ascii="STIX" w:eastAsia="Times New Roman" w:hAnsi="STIX"/>
          <w:sz w:val="20"/>
          <w:szCs w:val="24"/>
        </w:rPr>
      </w:pPr>
      <w:r w:rsidRPr="008A0CFC">
        <w:rPr>
          <w:rFonts w:ascii="STIX" w:eastAsia="Times New Roman" w:hAnsi="STIX"/>
          <w:sz w:val="20"/>
          <w:szCs w:val="24"/>
        </w:rPr>
        <w:t>where the positive flux indicates that heat is transferred downward.</w:t>
      </w:r>
    </w:p>
    <w:p w:rsidR="002E57D1" w:rsidRDefault="002E57D1" w:rsidP="008A0CFC">
      <w:pPr>
        <w:spacing w:after="0" w:line="240" w:lineRule="auto"/>
        <w:rPr>
          <w:b/>
          <w:sz w:val="20"/>
          <w:szCs w:val="20"/>
        </w:rPr>
      </w:pPr>
    </w:p>
    <w:sectPr w:rsidR="002E57D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84F16-2DD5-46A4-8356-3D152E02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2017-03-31T16:28:00Z</dcterms:created>
  <dcterms:modified xsi:type="dcterms:W3CDTF">2017-03-31T16:28:00Z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