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74B77" w:rsidRDefault="00512B6C" w:rsidP="00C74B77">
      <w:pPr>
        <w:pStyle w:val="Default"/>
        <w:ind w:right="-450"/>
        <w:rPr>
          <w:b/>
        </w:rPr>
      </w:pPr>
      <w:r w:rsidRPr="00C74B77">
        <w:rPr>
          <w:b/>
        </w:rPr>
        <w:t xml:space="preserve">Problem </w:t>
      </w:r>
      <w:r w:rsidR="001D3DC1" w:rsidRPr="00C74B77">
        <w:rPr>
          <w:b/>
        </w:rPr>
        <w:t>1</w:t>
      </w:r>
      <w:r w:rsidR="00C74B77" w:rsidRPr="00C74B77">
        <w:rPr>
          <w:b/>
        </w:rPr>
        <w:t>9.5</w:t>
      </w:r>
    </w:p>
    <w:p w:rsidR="00C74B77" w:rsidRPr="00C74B77" w:rsidRDefault="00C74B77" w:rsidP="00C74B77">
      <w:pPr>
        <w:pStyle w:val="Default"/>
      </w:pPr>
    </w:p>
    <w:p w:rsidR="00C74B77" w:rsidRPr="00C74B77" w:rsidRDefault="00C74B77" w:rsidP="00C74B77">
      <w:pPr>
        <w:pStyle w:val="Pa141"/>
        <w:rPr>
          <w:color w:val="211D1E"/>
          <w:szCs w:val="18"/>
        </w:rPr>
      </w:pPr>
      <w:r w:rsidRPr="00C74B77">
        <w:rPr>
          <w:color w:val="211D1E"/>
          <w:szCs w:val="18"/>
        </w:rPr>
        <w:t>The function</w:t>
      </w:r>
    </w:p>
    <w:p w:rsidR="00C74B77" w:rsidRPr="00C74B77" w:rsidRDefault="00C74B77" w:rsidP="00C74B77">
      <w:pPr>
        <w:pStyle w:val="Default"/>
        <w:spacing w:before="80" w:after="60" w:line="180" w:lineRule="atLeast"/>
        <w:ind w:left="240"/>
        <w:jc w:val="center"/>
        <w:rPr>
          <w:color w:val="211D1E"/>
          <w:szCs w:val="11"/>
        </w:rPr>
      </w:pPr>
      <w:r w:rsidRPr="00C74B77">
        <w:rPr>
          <w:i/>
          <w:iCs/>
          <w:color w:val="211D1E"/>
          <w:szCs w:val="18"/>
        </w:rPr>
        <w:t xml:space="preserve">f </w:t>
      </w:r>
      <w:r w:rsidRPr="00C74B77">
        <w:rPr>
          <w:color w:val="211D1E"/>
          <w:szCs w:val="18"/>
        </w:rPr>
        <w:t>(</w:t>
      </w:r>
      <w:r w:rsidRPr="00C74B77">
        <w:rPr>
          <w:i/>
          <w:iCs/>
          <w:color w:val="211D1E"/>
          <w:szCs w:val="18"/>
        </w:rPr>
        <w:t>x</w:t>
      </w:r>
      <w:r w:rsidRPr="00C74B77">
        <w:rPr>
          <w:color w:val="211D1E"/>
          <w:szCs w:val="18"/>
        </w:rPr>
        <w:t xml:space="preserve">) = </w:t>
      </w:r>
      <w:r w:rsidRPr="00C74B77">
        <w:rPr>
          <w:i/>
          <w:iCs/>
          <w:color w:val="211D1E"/>
          <w:szCs w:val="18"/>
        </w:rPr>
        <w:t>e</w:t>
      </w:r>
      <w:r w:rsidRPr="00C74B77">
        <w:rPr>
          <w:rStyle w:val="A61"/>
          <w:rFonts w:ascii="STIX" w:hAnsi="STIX" w:cs="STIX"/>
          <w:i w:val="0"/>
          <w:iCs w:val="0"/>
          <w:sz w:val="32"/>
          <w:vertAlign w:val="superscript"/>
        </w:rPr>
        <w:t>−</w:t>
      </w:r>
      <w:r w:rsidRPr="00C74B77">
        <w:rPr>
          <w:rStyle w:val="A61"/>
          <w:rFonts w:ascii="STIX" w:hAnsi="STIX" w:cs="STIX"/>
          <w:sz w:val="32"/>
          <w:vertAlign w:val="superscript"/>
        </w:rPr>
        <w:t>x</w:t>
      </w:r>
    </w:p>
    <w:p w:rsidR="00C74B77" w:rsidRPr="00C74B77" w:rsidRDefault="00C74B77" w:rsidP="00C74B77">
      <w:pPr>
        <w:pStyle w:val="Pa141"/>
        <w:rPr>
          <w:color w:val="211D1E"/>
          <w:szCs w:val="18"/>
        </w:rPr>
      </w:pPr>
      <w:r w:rsidRPr="00C74B77">
        <w:rPr>
          <w:color w:val="211D1E"/>
          <w:szCs w:val="18"/>
        </w:rPr>
        <w:t>can be used to generate the following table of unequally spaced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4"/>
        <w:gridCol w:w="934"/>
        <w:gridCol w:w="934"/>
        <w:gridCol w:w="934"/>
        <w:gridCol w:w="934"/>
        <w:gridCol w:w="934"/>
        <w:gridCol w:w="934"/>
        <w:gridCol w:w="934"/>
      </w:tblGrid>
      <w:tr w:rsidR="00C74B77" w:rsidRPr="00C74B77" w:rsidTr="00C74B77">
        <w:trPr>
          <w:trHeight w:val="528"/>
        </w:trPr>
        <w:tc>
          <w:tcPr>
            <w:tcW w:w="934" w:type="dxa"/>
          </w:tcPr>
          <w:p w:rsidR="00C74B77" w:rsidRPr="00C74B77" w:rsidRDefault="00C74B77" w:rsidP="00406C3F">
            <w:pPr>
              <w:pStyle w:val="Default"/>
              <w:spacing w:before="180" w:after="40" w:line="160" w:lineRule="atLeast"/>
              <w:rPr>
                <w:b/>
                <w:bCs/>
                <w:i/>
                <w:iCs/>
                <w:color w:val="211D1E"/>
                <w:szCs w:val="16"/>
              </w:rPr>
            </w:pPr>
            <w:r w:rsidRPr="00C74B77">
              <w:rPr>
                <w:b/>
                <w:bCs/>
                <w:i/>
                <w:iCs/>
                <w:color w:val="211D1E"/>
                <w:szCs w:val="16"/>
              </w:rPr>
              <w:t>x</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0</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0.1</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0.3</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0.5</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0.7</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0.95</w:t>
            </w:r>
          </w:p>
        </w:tc>
        <w:tc>
          <w:tcPr>
            <w:tcW w:w="934" w:type="dxa"/>
          </w:tcPr>
          <w:p w:rsidR="00C74B77" w:rsidRPr="00C74B77" w:rsidRDefault="00C74B77" w:rsidP="00406C3F">
            <w:pPr>
              <w:pStyle w:val="Default"/>
              <w:spacing w:before="180" w:after="40" w:line="160" w:lineRule="atLeast"/>
              <w:rPr>
                <w:color w:val="211D1E"/>
                <w:szCs w:val="16"/>
              </w:rPr>
            </w:pPr>
            <w:r w:rsidRPr="00C74B77">
              <w:rPr>
                <w:color w:val="211D1E"/>
                <w:szCs w:val="16"/>
              </w:rPr>
              <w:t>1.2</w:t>
            </w:r>
          </w:p>
        </w:tc>
      </w:tr>
      <w:tr w:rsidR="00C74B77" w:rsidRPr="00C74B77" w:rsidTr="00C74B77">
        <w:trPr>
          <w:trHeight w:val="583"/>
        </w:trPr>
        <w:tc>
          <w:tcPr>
            <w:tcW w:w="934" w:type="dxa"/>
          </w:tcPr>
          <w:p w:rsidR="00C74B77" w:rsidRPr="00C74B77" w:rsidRDefault="00C74B77" w:rsidP="00406C3F">
            <w:pPr>
              <w:pStyle w:val="Default"/>
              <w:spacing w:after="260" w:line="160" w:lineRule="atLeast"/>
              <w:rPr>
                <w:b/>
                <w:bCs/>
                <w:i/>
                <w:iCs/>
                <w:color w:val="211D1E"/>
                <w:szCs w:val="16"/>
              </w:rPr>
            </w:pPr>
            <w:r w:rsidRPr="00C74B77">
              <w:rPr>
                <w:b/>
                <w:bCs/>
                <w:i/>
                <w:iCs/>
                <w:color w:val="211D1E"/>
                <w:szCs w:val="16"/>
              </w:rPr>
              <w:t>f(x)</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1</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0.9048</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0.7408</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0.6065</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0.4966</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0.3867</w:t>
            </w:r>
          </w:p>
        </w:tc>
        <w:tc>
          <w:tcPr>
            <w:tcW w:w="934" w:type="dxa"/>
          </w:tcPr>
          <w:p w:rsidR="00C74B77" w:rsidRPr="00C74B77" w:rsidRDefault="00C74B77" w:rsidP="00406C3F">
            <w:pPr>
              <w:pStyle w:val="Default"/>
              <w:spacing w:after="260" w:line="160" w:lineRule="atLeast"/>
              <w:rPr>
                <w:color w:val="211D1E"/>
                <w:szCs w:val="16"/>
              </w:rPr>
            </w:pPr>
            <w:r w:rsidRPr="00C74B77">
              <w:rPr>
                <w:color w:val="211D1E"/>
                <w:szCs w:val="16"/>
              </w:rPr>
              <w:t>0.3012</w:t>
            </w:r>
          </w:p>
        </w:tc>
      </w:tr>
    </w:tbl>
    <w:p w:rsidR="00C74B77" w:rsidRDefault="00C74B77" w:rsidP="00C74B77">
      <w:pPr>
        <w:autoSpaceDE w:val="0"/>
        <w:autoSpaceDN w:val="0"/>
        <w:adjustRightInd w:val="0"/>
        <w:spacing w:after="0" w:line="240" w:lineRule="auto"/>
        <w:rPr>
          <w:rFonts w:ascii="STIX" w:hAnsi="STIX" w:cs="STIX"/>
          <w:color w:val="211D1E"/>
          <w:sz w:val="24"/>
          <w:szCs w:val="18"/>
        </w:rPr>
      </w:pPr>
      <w:r w:rsidRPr="00C74B77">
        <w:rPr>
          <w:rFonts w:ascii="STIX" w:hAnsi="STIX" w:cs="STIX"/>
          <w:color w:val="211D1E"/>
          <w:sz w:val="24"/>
          <w:szCs w:val="18"/>
        </w:rPr>
        <w:t xml:space="preserve">Evaluate the integral from </w:t>
      </w:r>
      <w:r w:rsidRPr="00C74B77">
        <w:rPr>
          <w:rFonts w:ascii="STIX" w:hAnsi="STIX" w:cs="STIX"/>
          <w:i/>
          <w:iCs/>
          <w:color w:val="211D1E"/>
          <w:sz w:val="24"/>
          <w:szCs w:val="18"/>
        </w:rPr>
        <w:t xml:space="preserve">a </w:t>
      </w:r>
      <w:r w:rsidRPr="00C74B77">
        <w:rPr>
          <w:rFonts w:ascii="STIX" w:hAnsi="STIX" w:cs="STIX"/>
          <w:color w:val="211D1E"/>
          <w:sz w:val="24"/>
          <w:szCs w:val="18"/>
        </w:rPr>
        <w:t xml:space="preserve">= 0 to </w:t>
      </w:r>
      <w:r w:rsidRPr="00C74B77">
        <w:rPr>
          <w:rFonts w:ascii="STIX" w:hAnsi="STIX" w:cs="STIX"/>
          <w:i/>
          <w:iCs/>
          <w:color w:val="211D1E"/>
          <w:sz w:val="24"/>
          <w:szCs w:val="18"/>
        </w:rPr>
        <w:t xml:space="preserve">b </w:t>
      </w:r>
      <w:r w:rsidRPr="00C74B77">
        <w:rPr>
          <w:rFonts w:ascii="STIX" w:hAnsi="STIX" w:cs="STIX"/>
          <w:color w:val="211D1E"/>
          <w:sz w:val="24"/>
          <w:szCs w:val="18"/>
        </w:rPr>
        <w:t xml:space="preserve">= 1.2 using </w:t>
      </w:r>
    </w:p>
    <w:p w:rsidR="00C74B77" w:rsidRDefault="00C74B77" w:rsidP="00C74B77">
      <w:pPr>
        <w:autoSpaceDE w:val="0"/>
        <w:autoSpaceDN w:val="0"/>
        <w:adjustRightInd w:val="0"/>
        <w:spacing w:after="0" w:line="240" w:lineRule="auto"/>
        <w:rPr>
          <w:rFonts w:ascii="STIX" w:hAnsi="STIX" w:cs="STIX"/>
          <w:color w:val="211D1E"/>
          <w:sz w:val="24"/>
          <w:szCs w:val="18"/>
        </w:rPr>
      </w:pPr>
      <w:r w:rsidRPr="00C74B77">
        <w:rPr>
          <w:rFonts w:ascii="STIX" w:hAnsi="STIX" w:cs="STIX"/>
          <w:b/>
          <w:bCs/>
          <w:color w:val="211D1E"/>
          <w:sz w:val="24"/>
          <w:szCs w:val="18"/>
        </w:rPr>
        <w:t xml:space="preserve">(a) </w:t>
      </w:r>
      <w:r w:rsidRPr="00C74B77">
        <w:rPr>
          <w:rFonts w:ascii="STIX" w:hAnsi="STIX" w:cs="STIX"/>
          <w:color w:val="211D1E"/>
          <w:sz w:val="24"/>
          <w:szCs w:val="18"/>
        </w:rPr>
        <w:t>analyti</w:t>
      </w:r>
      <w:r w:rsidRPr="00C74B77">
        <w:rPr>
          <w:rFonts w:ascii="STIX" w:hAnsi="STIX" w:cs="STIX"/>
          <w:color w:val="211D1E"/>
          <w:sz w:val="24"/>
          <w:szCs w:val="18"/>
        </w:rPr>
        <w:softHyphen/>
        <w:t xml:space="preserve">cal means, </w:t>
      </w:r>
    </w:p>
    <w:p w:rsidR="00C74B77" w:rsidRDefault="00C74B77" w:rsidP="00C74B77">
      <w:pPr>
        <w:autoSpaceDE w:val="0"/>
        <w:autoSpaceDN w:val="0"/>
        <w:adjustRightInd w:val="0"/>
        <w:spacing w:after="0" w:line="240" w:lineRule="auto"/>
        <w:rPr>
          <w:rFonts w:ascii="STIX" w:hAnsi="STIX" w:cs="STIX"/>
          <w:color w:val="211D1E"/>
          <w:sz w:val="24"/>
          <w:szCs w:val="18"/>
        </w:rPr>
      </w:pPr>
      <w:r w:rsidRPr="00C74B77">
        <w:rPr>
          <w:rFonts w:ascii="STIX" w:hAnsi="STIX" w:cs="STIX"/>
          <w:b/>
          <w:bCs/>
          <w:color w:val="211D1E"/>
          <w:sz w:val="24"/>
          <w:szCs w:val="18"/>
        </w:rPr>
        <w:t xml:space="preserve">(b) </w:t>
      </w:r>
      <w:r w:rsidRPr="00C74B77">
        <w:rPr>
          <w:rFonts w:ascii="STIX" w:hAnsi="STIX" w:cs="STIX"/>
          <w:color w:val="211D1E"/>
          <w:sz w:val="24"/>
          <w:szCs w:val="18"/>
        </w:rPr>
        <w:t xml:space="preserve">the trapezoidal rule, and </w:t>
      </w:r>
    </w:p>
    <w:p w:rsidR="00C74B77" w:rsidRDefault="00C74B77" w:rsidP="00C74B77">
      <w:pPr>
        <w:autoSpaceDE w:val="0"/>
        <w:autoSpaceDN w:val="0"/>
        <w:adjustRightInd w:val="0"/>
        <w:spacing w:after="0" w:line="240" w:lineRule="auto"/>
        <w:rPr>
          <w:rFonts w:ascii="STIX" w:hAnsi="STIX" w:cs="STIX"/>
          <w:color w:val="211D1E"/>
          <w:sz w:val="24"/>
          <w:szCs w:val="18"/>
        </w:rPr>
      </w:pPr>
      <w:r w:rsidRPr="00C74B77">
        <w:rPr>
          <w:rFonts w:ascii="STIX" w:hAnsi="STIX" w:cs="STIX"/>
          <w:b/>
          <w:bCs/>
          <w:color w:val="211D1E"/>
          <w:sz w:val="24"/>
          <w:szCs w:val="18"/>
        </w:rPr>
        <w:t xml:space="preserve">(c) </w:t>
      </w:r>
      <w:r w:rsidRPr="00C74B77">
        <w:rPr>
          <w:rFonts w:ascii="STIX" w:hAnsi="STIX" w:cs="STIX"/>
          <w:color w:val="211D1E"/>
          <w:sz w:val="24"/>
          <w:szCs w:val="18"/>
        </w:rPr>
        <w:t>a combination of the trapezoidal and Simpson’s rules wherever possible to at</w:t>
      </w:r>
      <w:r w:rsidRPr="00C74B77">
        <w:rPr>
          <w:rFonts w:ascii="STIX" w:hAnsi="STIX" w:cs="STIX"/>
          <w:color w:val="211D1E"/>
          <w:sz w:val="24"/>
          <w:szCs w:val="18"/>
        </w:rPr>
        <w:softHyphen/>
        <w:t xml:space="preserve">tain the highest accuracy. </w:t>
      </w:r>
    </w:p>
    <w:p w:rsidR="00C74B77" w:rsidRDefault="00C74B77" w:rsidP="00C74B77">
      <w:pPr>
        <w:autoSpaceDE w:val="0"/>
        <w:autoSpaceDN w:val="0"/>
        <w:adjustRightInd w:val="0"/>
        <w:spacing w:after="0" w:line="240" w:lineRule="auto"/>
        <w:rPr>
          <w:rFonts w:ascii="STIX" w:hAnsi="STIX" w:cs="STIX"/>
          <w:color w:val="211D1E"/>
          <w:sz w:val="24"/>
          <w:szCs w:val="18"/>
        </w:rPr>
      </w:pPr>
    </w:p>
    <w:p w:rsidR="00EB5E78" w:rsidRPr="00C74B77" w:rsidRDefault="00C74B77" w:rsidP="00C74B77">
      <w:pPr>
        <w:autoSpaceDE w:val="0"/>
        <w:autoSpaceDN w:val="0"/>
        <w:adjustRightInd w:val="0"/>
        <w:spacing w:after="0" w:line="240" w:lineRule="auto"/>
        <w:rPr>
          <w:rFonts w:ascii="STIX" w:hAnsi="STIX" w:cs="STIX"/>
          <w:sz w:val="24"/>
        </w:rPr>
      </w:pPr>
      <w:r w:rsidRPr="00C74B77">
        <w:rPr>
          <w:rFonts w:ascii="STIX" w:hAnsi="STIX" w:cs="STIX"/>
          <w:color w:val="211D1E"/>
          <w:sz w:val="24"/>
          <w:szCs w:val="18"/>
        </w:rPr>
        <w:t xml:space="preserve">For </w:t>
      </w:r>
      <w:r w:rsidRPr="00C74B77">
        <w:rPr>
          <w:rFonts w:ascii="STIX" w:hAnsi="STIX" w:cs="STIX"/>
          <w:b/>
          <w:bCs/>
          <w:color w:val="211D1E"/>
          <w:sz w:val="24"/>
          <w:szCs w:val="18"/>
        </w:rPr>
        <w:t xml:space="preserve">(b) </w:t>
      </w:r>
      <w:r w:rsidRPr="00C74B77">
        <w:rPr>
          <w:rFonts w:ascii="STIX" w:hAnsi="STIX" w:cs="STIX"/>
          <w:color w:val="211D1E"/>
          <w:sz w:val="24"/>
          <w:szCs w:val="18"/>
        </w:rPr>
        <w:t xml:space="preserve">and </w:t>
      </w:r>
      <w:r w:rsidRPr="00C74B77">
        <w:rPr>
          <w:rFonts w:ascii="STIX" w:hAnsi="STIX" w:cs="STIX"/>
          <w:b/>
          <w:bCs/>
          <w:color w:val="211D1E"/>
          <w:sz w:val="24"/>
          <w:szCs w:val="18"/>
        </w:rPr>
        <w:t>(c)</w:t>
      </w:r>
      <w:r w:rsidRPr="00C74B77">
        <w:rPr>
          <w:rFonts w:ascii="STIX" w:hAnsi="STIX" w:cs="STIX"/>
          <w:color w:val="211D1E"/>
          <w:sz w:val="24"/>
          <w:szCs w:val="18"/>
        </w:rPr>
        <w:t>, compute the true percent relative error.</w:t>
      </w:r>
    </w:p>
    <w:sectPr w:rsidR="00EB5E78" w:rsidRPr="00C74B77"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69</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2017-03-19T21:19:00Z</dcterms:created>
  <dcterms:modified xsi:type="dcterms:W3CDTF">2017-03-19T21:19:00Z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