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C1557" w:rsidRDefault="00512B6C" w:rsidP="00BC1557">
      <w:pPr>
        <w:pStyle w:val="Default"/>
        <w:ind w:right="-450"/>
        <w:rPr>
          <w:b/>
        </w:rPr>
      </w:pPr>
      <w:r w:rsidRPr="00BC1557">
        <w:rPr>
          <w:b/>
        </w:rPr>
        <w:t xml:space="preserve">Problem </w:t>
      </w:r>
      <w:r w:rsidR="001D3DC1" w:rsidRPr="00BC1557">
        <w:rPr>
          <w:b/>
        </w:rPr>
        <w:t>1</w:t>
      </w:r>
      <w:r w:rsidR="00BC1557">
        <w:rPr>
          <w:b/>
        </w:rPr>
        <w:t>9.8</w:t>
      </w:r>
    </w:p>
    <w:p w:rsidR="00BC1557" w:rsidRPr="00BC1557" w:rsidRDefault="00BC1557" w:rsidP="00BC1557">
      <w:pPr>
        <w:autoSpaceDE w:val="0"/>
        <w:autoSpaceDN w:val="0"/>
        <w:adjustRightInd w:val="0"/>
        <w:spacing w:after="0" w:line="240" w:lineRule="auto"/>
        <w:rPr>
          <w:rFonts w:ascii="STIX" w:hAnsi="STIX" w:cs="STIX"/>
          <w:color w:val="000000"/>
          <w:sz w:val="24"/>
          <w:szCs w:val="24"/>
        </w:rPr>
      </w:pPr>
    </w:p>
    <w:p w:rsidR="00BC1557" w:rsidRPr="00BC1557" w:rsidRDefault="00BC1557" w:rsidP="00BC1557">
      <w:pPr>
        <w:autoSpaceDE w:val="0"/>
        <w:autoSpaceDN w:val="0"/>
        <w:adjustRightInd w:val="0"/>
        <w:spacing w:after="0" w:line="180" w:lineRule="atLeast"/>
        <w:rPr>
          <w:rFonts w:ascii="STIX" w:hAnsi="STIX" w:cs="STIX"/>
          <w:color w:val="211D1E"/>
          <w:sz w:val="24"/>
          <w:szCs w:val="18"/>
        </w:rPr>
      </w:pPr>
      <w:r w:rsidRPr="00BC1557">
        <w:rPr>
          <w:rFonts w:ascii="STIX" w:hAnsi="STIX" w:cs="STIX"/>
          <w:color w:val="211D1E"/>
          <w:sz w:val="24"/>
          <w:szCs w:val="18"/>
        </w:rPr>
        <w:t>Determine the distance traveled from the following velocity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1"/>
        <w:gridCol w:w="621"/>
        <w:gridCol w:w="621"/>
        <w:gridCol w:w="636"/>
        <w:gridCol w:w="621"/>
        <w:gridCol w:w="621"/>
        <w:gridCol w:w="622"/>
        <w:gridCol w:w="622"/>
        <w:gridCol w:w="622"/>
        <w:gridCol w:w="622"/>
        <w:gridCol w:w="622"/>
      </w:tblGrid>
      <w:tr w:rsidR="00BC1557" w:rsidRPr="00BC1557" w:rsidTr="00BC1557">
        <w:trPr>
          <w:trHeight w:val="587"/>
        </w:trPr>
        <w:tc>
          <w:tcPr>
            <w:tcW w:w="621" w:type="dxa"/>
          </w:tcPr>
          <w:p w:rsidR="00BC1557" w:rsidRPr="00BC1557" w:rsidRDefault="00BC1557" w:rsidP="00EB641E">
            <w:pPr>
              <w:autoSpaceDE w:val="0"/>
              <w:autoSpaceDN w:val="0"/>
              <w:adjustRightInd w:val="0"/>
              <w:spacing w:before="220" w:after="40" w:line="160" w:lineRule="atLeast"/>
              <w:rPr>
                <w:rFonts w:ascii="STIX" w:hAnsi="STIX" w:cs="STIX"/>
                <w:b/>
                <w:bCs/>
                <w:i/>
                <w:iCs/>
                <w:color w:val="211D1E"/>
                <w:sz w:val="24"/>
              </w:rPr>
            </w:pPr>
            <w:r w:rsidRPr="00BC1557">
              <w:rPr>
                <w:rFonts w:ascii="STIX" w:hAnsi="STIX" w:cs="STIX"/>
                <w:b/>
                <w:bCs/>
                <w:i/>
                <w:iCs/>
                <w:color w:val="211D1E"/>
                <w:sz w:val="24"/>
              </w:rPr>
              <w:t>t</w:t>
            </w:r>
          </w:p>
        </w:tc>
        <w:tc>
          <w:tcPr>
            <w:tcW w:w="621"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1</w:t>
            </w:r>
          </w:p>
        </w:tc>
        <w:tc>
          <w:tcPr>
            <w:tcW w:w="621"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2</w:t>
            </w:r>
          </w:p>
        </w:tc>
        <w:tc>
          <w:tcPr>
            <w:tcW w:w="621"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3.25</w:t>
            </w:r>
          </w:p>
        </w:tc>
        <w:tc>
          <w:tcPr>
            <w:tcW w:w="621"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4.5</w:t>
            </w:r>
          </w:p>
        </w:tc>
        <w:tc>
          <w:tcPr>
            <w:tcW w:w="621"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6</w:t>
            </w:r>
          </w:p>
        </w:tc>
        <w:tc>
          <w:tcPr>
            <w:tcW w:w="622"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7</w:t>
            </w:r>
          </w:p>
        </w:tc>
        <w:tc>
          <w:tcPr>
            <w:tcW w:w="622"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8</w:t>
            </w:r>
          </w:p>
        </w:tc>
        <w:tc>
          <w:tcPr>
            <w:tcW w:w="622"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8.5</w:t>
            </w:r>
          </w:p>
        </w:tc>
        <w:tc>
          <w:tcPr>
            <w:tcW w:w="622"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9</w:t>
            </w:r>
          </w:p>
        </w:tc>
        <w:tc>
          <w:tcPr>
            <w:tcW w:w="622" w:type="dxa"/>
          </w:tcPr>
          <w:p w:rsidR="00BC1557" w:rsidRPr="00BC1557" w:rsidRDefault="00BC1557" w:rsidP="00EB641E">
            <w:pPr>
              <w:autoSpaceDE w:val="0"/>
              <w:autoSpaceDN w:val="0"/>
              <w:adjustRightInd w:val="0"/>
              <w:spacing w:before="220" w:after="40" w:line="160" w:lineRule="atLeast"/>
              <w:rPr>
                <w:rFonts w:ascii="STIX" w:hAnsi="STIX" w:cs="STIX"/>
                <w:color w:val="211D1E"/>
                <w:sz w:val="24"/>
                <w:szCs w:val="16"/>
              </w:rPr>
            </w:pPr>
            <w:r w:rsidRPr="00BC1557">
              <w:rPr>
                <w:rFonts w:ascii="STIX" w:hAnsi="STIX" w:cs="STIX"/>
                <w:color w:val="211D1E"/>
                <w:sz w:val="24"/>
                <w:szCs w:val="16"/>
              </w:rPr>
              <w:t>10</w:t>
            </w:r>
          </w:p>
        </w:tc>
      </w:tr>
      <w:tr w:rsidR="00BC1557" w:rsidRPr="00BC1557" w:rsidTr="00BC1557">
        <w:trPr>
          <w:trHeight w:val="644"/>
        </w:trPr>
        <w:tc>
          <w:tcPr>
            <w:tcW w:w="621" w:type="dxa"/>
          </w:tcPr>
          <w:p w:rsidR="00BC1557" w:rsidRPr="00BC1557" w:rsidRDefault="00BC1557" w:rsidP="00EB641E">
            <w:pPr>
              <w:autoSpaceDE w:val="0"/>
              <w:autoSpaceDN w:val="0"/>
              <w:adjustRightInd w:val="0"/>
              <w:spacing w:after="300" w:line="160" w:lineRule="atLeast"/>
              <w:rPr>
                <w:rFonts w:ascii="STIX" w:hAnsi="STIX" w:cs="STIX"/>
                <w:b/>
                <w:bCs/>
                <w:i/>
                <w:iCs/>
                <w:color w:val="211D1E"/>
                <w:sz w:val="24"/>
              </w:rPr>
            </w:pPr>
            <w:r w:rsidRPr="00BC1557">
              <w:rPr>
                <w:rFonts w:ascii="STIX" w:hAnsi="STIX" w:cs="STIX"/>
                <w:b/>
                <w:bCs/>
                <w:i/>
                <w:iCs/>
                <w:color w:val="211D1E"/>
                <w:sz w:val="24"/>
              </w:rPr>
              <w:t>υ</w:t>
            </w:r>
          </w:p>
        </w:tc>
        <w:tc>
          <w:tcPr>
            <w:tcW w:w="621"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5</w:t>
            </w:r>
          </w:p>
        </w:tc>
        <w:tc>
          <w:tcPr>
            <w:tcW w:w="621"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6</w:t>
            </w:r>
          </w:p>
        </w:tc>
        <w:tc>
          <w:tcPr>
            <w:tcW w:w="621"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5.5</w:t>
            </w:r>
          </w:p>
        </w:tc>
        <w:tc>
          <w:tcPr>
            <w:tcW w:w="621"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7</w:t>
            </w:r>
          </w:p>
        </w:tc>
        <w:tc>
          <w:tcPr>
            <w:tcW w:w="621"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8.5</w:t>
            </w:r>
          </w:p>
        </w:tc>
        <w:tc>
          <w:tcPr>
            <w:tcW w:w="622"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8</w:t>
            </w:r>
          </w:p>
        </w:tc>
        <w:tc>
          <w:tcPr>
            <w:tcW w:w="622"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6</w:t>
            </w:r>
          </w:p>
        </w:tc>
        <w:tc>
          <w:tcPr>
            <w:tcW w:w="622"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7</w:t>
            </w:r>
          </w:p>
        </w:tc>
        <w:tc>
          <w:tcPr>
            <w:tcW w:w="622"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7</w:t>
            </w:r>
          </w:p>
        </w:tc>
        <w:tc>
          <w:tcPr>
            <w:tcW w:w="622" w:type="dxa"/>
          </w:tcPr>
          <w:p w:rsidR="00BC1557" w:rsidRPr="00BC1557" w:rsidRDefault="00BC1557" w:rsidP="00EB641E">
            <w:pPr>
              <w:autoSpaceDE w:val="0"/>
              <w:autoSpaceDN w:val="0"/>
              <w:adjustRightInd w:val="0"/>
              <w:spacing w:after="300" w:line="160" w:lineRule="atLeast"/>
              <w:rPr>
                <w:rFonts w:ascii="STIX" w:hAnsi="STIX" w:cs="STIX"/>
                <w:color w:val="211D1E"/>
                <w:sz w:val="24"/>
                <w:szCs w:val="16"/>
              </w:rPr>
            </w:pPr>
            <w:r w:rsidRPr="00BC1557">
              <w:rPr>
                <w:rFonts w:ascii="STIX" w:hAnsi="STIX" w:cs="STIX"/>
                <w:color w:val="211D1E"/>
                <w:sz w:val="24"/>
                <w:szCs w:val="16"/>
              </w:rPr>
              <w:t>5</w:t>
            </w:r>
          </w:p>
        </w:tc>
      </w:tr>
    </w:tbl>
    <w:p w:rsidR="00BC1557" w:rsidRPr="00BC1557" w:rsidRDefault="00BC1557" w:rsidP="00BC1557">
      <w:pPr>
        <w:autoSpaceDE w:val="0"/>
        <w:autoSpaceDN w:val="0"/>
        <w:adjustRightInd w:val="0"/>
        <w:spacing w:after="0" w:line="240" w:lineRule="auto"/>
        <w:rPr>
          <w:rFonts w:ascii="STIX" w:hAnsi="STIX" w:cs="STIX"/>
          <w:color w:val="211D1E"/>
          <w:sz w:val="24"/>
          <w:szCs w:val="18"/>
        </w:rPr>
      </w:pPr>
      <w:r w:rsidRPr="00BC1557">
        <w:rPr>
          <w:rFonts w:ascii="STIX" w:hAnsi="STIX" w:cs="STIX"/>
          <w:b/>
          <w:bCs/>
          <w:color w:val="211D1E"/>
          <w:sz w:val="24"/>
        </w:rPr>
        <w:t xml:space="preserve">(a) </w:t>
      </w:r>
      <w:r w:rsidRPr="00BC1557">
        <w:rPr>
          <w:rFonts w:ascii="STIX" w:hAnsi="STIX" w:cs="STIX"/>
          <w:color w:val="211D1E"/>
          <w:sz w:val="24"/>
          <w:szCs w:val="18"/>
        </w:rPr>
        <w:t>Use the trapezoidal rule. In addition, determine the aver</w:t>
      </w:r>
      <w:r w:rsidRPr="00BC1557">
        <w:rPr>
          <w:rFonts w:ascii="STIX" w:hAnsi="STIX" w:cs="STIX"/>
          <w:color w:val="211D1E"/>
          <w:sz w:val="24"/>
          <w:szCs w:val="18"/>
        </w:rPr>
        <w:softHyphen/>
        <w:t>age velocity.</w:t>
      </w:r>
    </w:p>
    <w:p w:rsidR="00BC1557" w:rsidRPr="00BC1557" w:rsidRDefault="00BC1557" w:rsidP="00BC1557">
      <w:pPr>
        <w:autoSpaceDE w:val="0"/>
        <w:autoSpaceDN w:val="0"/>
        <w:adjustRightInd w:val="0"/>
        <w:spacing w:after="0" w:line="240" w:lineRule="auto"/>
        <w:rPr>
          <w:rFonts w:ascii="STIX" w:hAnsi="STIX" w:cs="STIX"/>
          <w:color w:val="211D1E"/>
          <w:sz w:val="24"/>
          <w:szCs w:val="18"/>
        </w:rPr>
      </w:pPr>
      <w:r w:rsidRPr="00BC1557">
        <w:rPr>
          <w:rFonts w:ascii="STIX" w:hAnsi="STIX" w:cs="STIX"/>
          <w:b/>
          <w:bCs/>
          <w:color w:val="211D1E"/>
          <w:sz w:val="24"/>
        </w:rPr>
        <w:t xml:space="preserve">(b) </w:t>
      </w:r>
      <w:r w:rsidRPr="00BC1557">
        <w:rPr>
          <w:rFonts w:ascii="STIX" w:hAnsi="STIX" w:cs="STIX"/>
          <w:color w:val="211D1E"/>
          <w:sz w:val="24"/>
          <w:szCs w:val="18"/>
        </w:rPr>
        <w:t>Fit the data with a cubic equation using polynomial regression. Integrate the cubic equation to determine the distance.</w:t>
      </w:r>
    </w:p>
    <w:p w:rsidR="002113F0" w:rsidRPr="00BC1557" w:rsidRDefault="002113F0" w:rsidP="00BC1557">
      <w:pPr>
        <w:autoSpaceDE w:val="0"/>
        <w:autoSpaceDN w:val="0"/>
        <w:adjustRightInd w:val="0"/>
        <w:spacing w:after="0" w:line="240" w:lineRule="auto"/>
        <w:rPr>
          <w:rFonts w:ascii="STIX" w:hAnsi="STIX" w:cs="STIX"/>
          <w:sz w:val="24"/>
        </w:rPr>
      </w:pPr>
    </w:p>
    <w:sectPr w:rsidR="002113F0" w:rsidRPr="00BC1557"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2017-03-19T21:24:00Z</dcterms:created>
  <dcterms:modified xsi:type="dcterms:W3CDTF">2017-03-19T21:24:00Z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