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D221C" w:rsidRDefault="00512B6C" w:rsidP="005D221C">
      <w:pPr>
        <w:pStyle w:val="Default"/>
        <w:ind w:right="-450"/>
        <w:rPr>
          <w:b/>
        </w:rPr>
      </w:pPr>
      <w:r w:rsidRPr="005D221C">
        <w:rPr>
          <w:b/>
        </w:rPr>
        <w:t xml:space="preserve">Problem </w:t>
      </w:r>
      <w:r w:rsidR="001D3DC1" w:rsidRPr="005D221C">
        <w:rPr>
          <w:b/>
        </w:rPr>
        <w:t>1</w:t>
      </w:r>
      <w:r w:rsidR="005D221C">
        <w:rPr>
          <w:b/>
        </w:rPr>
        <w:t>9.12</w:t>
      </w:r>
    </w:p>
    <w:p w:rsidR="005D221C" w:rsidRPr="005D221C" w:rsidRDefault="005D221C" w:rsidP="005D221C">
      <w:pPr>
        <w:autoSpaceDE w:val="0"/>
        <w:autoSpaceDN w:val="0"/>
        <w:adjustRightInd w:val="0"/>
        <w:spacing w:after="0" w:line="240" w:lineRule="auto"/>
        <w:rPr>
          <w:rFonts w:ascii="STIX" w:hAnsi="STIX" w:cs="STIX"/>
          <w:color w:val="000000"/>
          <w:sz w:val="24"/>
          <w:szCs w:val="24"/>
        </w:rPr>
      </w:pPr>
    </w:p>
    <w:p w:rsidR="005D221C" w:rsidRPr="005D221C" w:rsidRDefault="005D221C" w:rsidP="005D221C">
      <w:pPr>
        <w:autoSpaceDE w:val="0"/>
        <w:autoSpaceDN w:val="0"/>
        <w:adjustRightInd w:val="0"/>
        <w:spacing w:after="0" w:line="180" w:lineRule="atLeast"/>
        <w:rPr>
          <w:rFonts w:ascii="STIX" w:hAnsi="STIX" w:cs="STIX"/>
          <w:color w:val="211D1E"/>
          <w:sz w:val="24"/>
          <w:szCs w:val="18"/>
        </w:rPr>
      </w:pPr>
      <w:r w:rsidRPr="005D221C">
        <w:rPr>
          <w:rFonts w:ascii="STIX" w:hAnsi="STIX" w:cs="STIX"/>
          <w:color w:val="211D1E"/>
          <w:sz w:val="24"/>
          <w:szCs w:val="18"/>
        </w:rPr>
        <w:t>An 11-m beam is subjected to a load, and the shear force follows the equation</w:t>
      </w:r>
    </w:p>
    <w:p w:rsidR="005D221C" w:rsidRPr="005D221C" w:rsidRDefault="005D221C" w:rsidP="005D221C">
      <w:pPr>
        <w:autoSpaceDE w:val="0"/>
        <w:autoSpaceDN w:val="0"/>
        <w:adjustRightInd w:val="0"/>
        <w:spacing w:before="160" w:after="120" w:line="180" w:lineRule="atLeast"/>
        <w:ind w:left="240"/>
        <w:jc w:val="center"/>
        <w:rPr>
          <w:rFonts w:ascii="STIX" w:hAnsi="STIX" w:cs="STIX"/>
          <w:color w:val="211D1E"/>
          <w:sz w:val="24"/>
          <w:szCs w:val="11"/>
        </w:rPr>
      </w:pPr>
      <w:r w:rsidRPr="005D221C">
        <w:rPr>
          <w:rFonts w:ascii="STIX" w:hAnsi="STIX" w:cs="STIX"/>
          <w:i/>
          <w:iCs/>
          <w:color w:val="211D1E"/>
          <w:sz w:val="24"/>
          <w:szCs w:val="18"/>
        </w:rPr>
        <w:t>V</w:t>
      </w:r>
      <w:r w:rsidRPr="005D221C">
        <w:rPr>
          <w:rFonts w:ascii="STIX" w:hAnsi="STIX" w:cs="STIX"/>
          <w:color w:val="211D1E"/>
          <w:sz w:val="24"/>
        </w:rPr>
        <w:t>(</w:t>
      </w:r>
      <w:r w:rsidRPr="005D221C">
        <w:rPr>
          <w:rFonts w:ascii="STIX" w:hAnsi="STIX" w:cs="STIX"/>
          <w:i/>
          <w:iCs/>
          <w:color w:val="211D1E"/>
          <w:sz w:val="24"/>
          <w:szCs w:val="18"/>
        </w:rPr>
        <w:t>x</w:t>
      </w:r>
      <w:r w:rsidRPr="005D221C">
        <w:rPr>
          <w:rFonts w:ascii="STIX" w:hAnsi="STIX" w:cs="STIX"/>
          <w:color w:val="211D1E"/>
          <w:sz w:val="24"/>
        </w:rPr>
        <w:t xml:space="preserve">) </w:t>
      </w:r>
      <w:r w:rsidRPr="005D221C">
        <w:rPr>
          <w:rFonts w:ascii="STIX" w:hAnsi="STIX" w:cs="STIX"/>
          <w:color w:val="211D1E"/>
          <w:sz w:val="24"/>
          <w:szCs w:val="18"/>
        </w:rPr>
        <w:t xml:space="preserve">= </w:t>
      </w:r>
      <w:r w:rsidRPr="005D221C">
        <w:rPr>
          <w:rFonts w:ascii="STIX" w:hAnsi="STIX" w:cs="STIX"/>
          <w:color w:val="211D1E"/>
          <w:sz w:val="24"/>
        </w:rPr>
        <w:t xml:space="preserve">5 </w:t>
      </w:r>
      <w:r w:rsidRPr="005D221C">
        <w:rPr>
          <w:rFonts w:ascii="STIX" w:hAnsi="STIX" w:cs="STIX"/>
          <w:color w:val="211D1E"/>
          <w:sz w:val="24"/>
          <w:szCs w:val="18"/>
        </w:rPr>
        <w:t xml:space="preserve">+ </w:t>
      </w:r>
      <w:r w:rsidRPr="005D221C">
        <w:rPr>
          <w:rFonts w:ascii="STIX" w:hAnsi="STIX" w:cs="STIX"/>
          <w:color w:val="211D1E"/>
          <w:sz w:val="24"/>
        </w:rPr>
        <w:t>0.25</w:t>
      </w:r>
      <w:r w:rsidRPr="005D221C">
        <w:rPr>
          <w:rFonts w:ascii="STIX" w:hAnsi="STIX" w:cs="STIX"/>
          <w:i/>
          <w:iCs/>
          <w:color w:val="211D1E"/>
          <w:sz w:val="24"/>
          <w:szCs w:val="18"/>
        </w:rPr>
        <w:t>x</w:t>
      </w:r>
      <w:r w:rsidRPr="005D221C">
        <w:rPr>
          <w:rFonts w:ascii="STIX" w:hAnsi="STIX" w:cs="STIX"/>
          <w:color w:val="211D1E"/>
          <w:sz w:val="32"/>
          <w:vertAlign w:val="superscript"/>
        </w:rPr>
        <w:t>2</w:t>
      </w:r>
    </w:p>
    <w:p w:rsidR="005D221C" w:rsidRDefault="005D221C" w:rsidP="005D221C">
      <w:pPr>
        <w:autoSpaceDE w:val="0"/>
        <w:autoSpaceDN w:val="0"/>
        <w:adjustRightInd w:val="0"/>
        <w:spacing w:after="0" w:line="180" w:lineRule="atLeast"/>
        <w:rPr>
          <w:rFonts w:ascii="STIX" w:hAnsi="STIX" w:cs="STIX"/>
          <w:color w:val="211D1E"/>
          <w:sz w:val="24"/>
          <w:szCs w:val="18"/>
        </w:rPr>
      </w:pPr>
      <w:r w:rsidRPr="005D221C">
        <w:rPr>
          <w:rFonts w:ascii="STIX" w:hAnsi="STIX" w:cs="STIX"/>
          <w:color w:val="211D1E"/>
          <w:sz w:val="24"/>
          <w:szCs w:val="18"/>
        </w:rPr>
        <w:t xml:space="preserve">where </w:t>
      </w:r>
      <w:r w:rsidRPr="005D221C">
        <w:rPr>
          <w:rFonts w:ascii="STIX" w:hAnsi="STIX" w:cs="STIX"/>
          <w:i/>
          <w:iCs/>
          <w:color w:val="211D1E"/>
          <w:sz w:val="24"/>
          <w:szCs w:val="18"/>
        </w:rPr>
        <w:t xml:space="preserve">V </w:t>
      </w:r>
      <w:r w:rsidRPr="005D221C">
        <w:rPr>
          <w:rFonts w:ascii="STIX" w:hAnsi="STIX" w:cs="STIX"/>
          <w:color w:val="211D1E"/>
          <w:sz w:val="24"/>
          <w:szCs w:val="18"/>
        </w:rPr>
        <w:t xml:space="preserve">is the shear force, and </w:t>
      </w:r>
      <w:r w:rsidRPr="005D221C">
        <w:rPr>
          <w:rFonts w:ascii="STIX" w:hAnsi="STIX" w:cs="STIX"/>
          <w:i/>
          <w:iCs/>
          <w:color w:val="211D1E"/>
          <w:sz w:val="24"/>
          <w:szCs w:val="18"/>
        </w:rPr>
        <w:t xml:space="preserve">x </w:t>
      </w:r>
      <w:r w:rsidRPr="005D221C">
        <w:rPr>
          <w:rFonts w:ascii="STIX" w:hAnsi="STIX" w:cs="STIX"/>
          <w:color w:val="211D1E"/>
          <w:sz w:val="24"/>
          <w:szCs w:val="18"/>
        </w:rPr>
        <w:t xml:space="preserve">is length in distance along the beam. We know that </w:t>
      </w:r>
      <w:r w:rsidRPr="005D221C">
        <w:rPr>
          <w:rFonts w:ascii="STIX" w:hAnsi="STIX" w:cs="STIX"/>
          <w:i/>
          <w:iCs/>
          <w:color w:val="211D1E"/>
          <w:sz w:val="24"/>
          <w:szCs w:val="18"/>
        </w:rPr>
        <w:t xml:space="preserve">V </w:t>
      </w:r>
      <w:r w:rsidRPr="005D221C">
        <w:rPr>
          <w:rFonts w:ascii="STIX" w:hAnsi="STIX" w:cs="STIX"/>
          <w:color w:val="211D1E"/>
          <w:sz w:val="24"/>
          <w:szCs w:val="18"/>
        </w:rPr>
        <w:t xml:space="preserve">= </w:t>
      </w:r>
      <w:r w:rsidRPr="005D221C">
        <w:rPr>
          <w:rFonts w:ascii="STIX" w:hAnsi="STIX" w:cs="STIX"/>
          <w:i/>
          <w:iCs/>
          <w:color w:val="211D1E"/>
          <w:sz w:val="24"/>
          <w:szCs w:val="18"/>
        </w:rPr>
        <w:t>dM</w:t>
      </w:r>
      <w:r w:rsidRPr="005D221C">
        <w:rPr>
          <w:rFonts w:ascii="STIX" w:hAnsi="STIX" w:cs="STIX"/>
          <w:color w:val="211D1E"/>
          <w:sz w:val="24"/>
          <w:szCs w:val="18"/>
        </w:rPr>
        <w:t>∕</w:t>
      </w:r>
      <w:r w:rsidRPr="005D221C">
        <w:rPr>
          <w:rFonts w:ascii="STIX" w:hAnsi="STIX" w:cs="STIX"/>
          <w:i/>
          <w:iCs/>
          <w:color w:val="211D1E"/>
          <w:sz w:val="24"/>
          <w:szCs w:val="18"/>
        </w:rPr>
        <w:t>dx</w:t>
      </w:r>
      <w:r w:rsidRPr="005D221C">
        <w:rPr>
          <w:rFonts w:ascii="STIX" w:hAnsi="STIX" w:cs="STIX"/>
          <w:color w:val="211D1E"/>
          <w:sz w:val="24"/>
          <w:szCs w:val="18"/>
        </w:rPr>
        <w:t xml:space="preserve">, and </w:t>
      </w:r>
      <w:r w:rsidRPr="005D221C">
        <w:rPr>
          <w:rFonts w:ascii="STIX" w:hAnsi="STIX" w:cs="STIX"/>
          <w:i/>
          <w:iCs/>
          <w:color w:val="211D1E"/>
          <w:sz w:val="24"/>
          <w:szCs w:val="18"/>
        </w:rPr>
        <w:t xml:space="preserve">M </w:t>
      </w:r>
      <w:r w:rsidRPr="005D221C">
        <w:rPr>
          <w:rFonts w:ascii="STIX" w:hAnsi="STIX" w:cs="STIX"/>
          <w:color w:val="211D1E"/>
          <w:sz w:val="24"/>
          <w:szCs w:val="18"/>
        </w:rPr>
        <w:t>is the bending moment. Integration yields the relationship</w:t>
      </w:r>
    </w:p>
    <w:p w:rsidR="005D221C" w:rsidRPr="005D221C" w:rsidRDefault="005D221C" w:rsidP="005D221C">
      <w:pPr>
        <w:autoSpaceDE w:val="0"/>
        <w:autoSpaceDN w:val="0"/>
        <w:adjustRightInd w:val="0"/>
        <w:spacing w:after="0" w:line="180" w:lineRule="atLeast"/>
        <w:rPr>
          <w:rFonts w:ascii="STIX" w:hAnsi="STIX" w:cs="STIX"/>
          <w:color w:val="211D1E"/>
          <w:sz w:val="24"/>
          <w:szCs w:val="18"/>
        </w:rPr>
      </w:pPr>
    </w:p>
    <w:p w:rsidR="005D221C" w:rsidRDefault="005D221C" w:rsidP="005D221C">
      <w:pPr>
        <w:pStyle w:val="Default"/>
        <w:jc w:val="center"/>
        <w:rPr>
          <w:rFonts w:eastAsia="STIXGeneral"/>
          <w:color w:val="211D1E"/>
          <w:szCs w:val="18"/>
        </w:rPr>
      </w:pPr>
      <w:r w:rsidRPr="005D221C">
        <w:rPr>
          <w:rFonts w:eastAsia="STIXGeneral"/>
          <w:color w:val="211D1E"/>
          <w:position w:val="-20"/>
          <w:szCs w:val="18"/>
        </w:rPr>
        <w:object w:dxaOrig="198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0" type="#_x0000_t75" style="width:99pt;height:27.75pt" o:ole="">
            <v:imagedata r:id="rId7" o:title=""/>
          </v:shape>
          <o:OLEObject Type="Embed" ProgID="Equation.DSMT4" ShapeID="_x0000_i1330" DrawAspect="Content" ObjectID="_1551443904" r:id="rId8"/>
        </w:object>
      </w:r>
      <w:r>
        <w:rPr>
          <w:rFonts w:eastAsia="STIXGeneral"/>
          <w:color w:val="211D1E"/>
          <w:szCs w:val="18"/>
        </w:rPr>
        <w:t xml:space="preserve"> </w:t>
      </w:r>
    </w:p>
    <w:p w:rsidR="005D221C" w:rsidRDefault="005D221C" w:rsidP="005D221C">
      <w:pPr>
        <w:pStyle w:val="Default"/>
        <w:rPr>
          <w:rFonts w:eastAsia="STIXGeneral"/>
          <w:color w:val="211D1E"/>
          <w:szCs w:val="18"/>
        </w:rPr>
      </w:pPr>
    </w:p>
    <w:p w:rsidR="005D221C" w:rsidRDefault="005D221C" w:rsidP="005D221C">
      <w:pPr>
        <w:pStyle w:val="Default"/>
        <w:rPr>
          <w:rFonts w:eastAsia="STIXGeneral"/>
          <w:color w:val="211D1E"/>
          <w:szCs w:val="18"/>
        </w:rPr>
      </w:pPr>
      <w:r w:rsidRPr="005D221C">
        <w:rPr>
          <w:rFonts w:eastAsia="STIXGeneral"/>
          <w:color w:val="211D1E"/>
          <w:szCs w:val="18"/>
        </w:rPr>
        <w:t xml:space="preserve">If </w:t>
      </w:r>
      <w:r w:rsidRPr="005D221C">
        <w:rPr>
          <w:rFonts w:eastAsia="STIXGeneral"/>
          <w:i/>
          <w:iCs/>
          <w:color w:val="211D1E"/>
          <w:szCs w:val="18"/>
        </w:rPr>
        <w:t>M</w:t>
      </w:r>
      <w:r w:rsidRPr="005D221C">
        <w:rPr>
          <w:rFonts w:eastAsia="STIXGeneral"/>
          <w:i/>
          <w:iCs/>
          <w:color w:val="211D1E"/>
          <w:sz w:val="32"/>
          <w:vertAlign w:val="subscript"/>
        </w:rPr>
        <w:t>o</w:t>
      </w:r>
      <w:r w:rsidRPr="005D221C">
        <w:rPr>
          <w:rFonts w:eastAsia="STIXGeneral"/>
          <w:i/>
          <w:iCs/>
          <w:color w:val="211D1E"/>
        </w:rPr>
        <w:t xml:space="preserve"> </w:t>
      </w:r>
      <w:r w:rsidRPr="005D221C">
        <w:rPr>
          <w:rFonts w:eastAsia="STIXGeneral"/>
          <w:color w:val="211D1E"/>
          <w:szCs w:val="18"/>
        </w:rPr>
        <w:t xml:space="preserve">is zero and </w:t>
      </w:r>
      <w:r w:rsidRPr="005D221C">
        <w:rPr>
          <w:rFonts w:eastAsia="STIXGeneral"/>
          <w:i/>
          <w:iCs/>
          <w:color w:val="211D1E"/>
          <w:szCs w:val="18"/>
        </w:rPr>
        <w:t xml:space="preserve">x </w:t>
      </w:r>
      <w:r w:rsidRPr="005D221C">
        <w:rPr>
          <w:rFonts w:eastAsia="STIXGeneral"/>
          <w:color w:val="211D1E"/>
          <w:szCs w:val="18"/>
        </w:rPr>
        <w:t xml:space="preserve">= 11, calculate </w:t>
      </w:r>
      <w:r w:rsidRPr="005D221C">
        <w:rPr>
          <w:rFonts w:eastAsia="STIXGeneral"/>
          <w:i/>
          <w:iCs/>
          <w:color w:val="211D1E"/>
          <w:szCs w:val="18"/>
        </w:rPr>
        <w:t xml:space="preserve">M </w:t>
      </w:r>
      <w:r w:rsidRPr="005D221C">
        <w:rPr>
          <w:rFonts w:eastAsia="STIXGeneral"/>
          <w:color w:val="211D1E"/>
          <w:szCs w:val="18"/>
        </w:rPr>
        <w:t xml:space="preserve">using </w:t>
      </w:r>
    </w:p>
    <w:p w:rsidR="005D221C" w:rsidRDefault="005D221C" w:rsidP="005D221C">
      <w:pPr>
        <w:pStyle w:val="Default"/>
        <w:rPr>
          <w:rFonts w:eastAsia="STIXGeneral"/>
          <w:color w:val="211D1E"/>
          <w:szCs w:val="18"/>
        </w:rPr>
      </w:pPr>
    </w:p>
    <w:p w:rsidR="005D221C" w:rsidRDefault="005D221C" w:rsidP="005D221C">
      <w:pPr>
        <w:pStyle w:val="Default"/>
        <w:rPr>
          <w:rFonts w:eastAsia="STIXGeneral"/>
          <w:color w:val="211D1E"/>
          <w:szCs w:val="18"/>
        </w:rPr>
      </w:pPr>
      <w:r w:rsidRPr="005D221C">
        <w:rPr>
          <w:rFonts w:eastAsia="STIXGeneral"/>
          <w:b/>
          <w:bCs/>
          <w:color w:val="211D1E"/>
          <w:szCs w:val="18"/>
        </w:rPr>
        <w:t xml:space="preserve">(a) </w:t>
      </w:r>
      <w:r w:rsidRPr="005D221C">
        <w:rPr>
          <w:rFonts w:eastAsia="STIXGeneral"/>
          <w:color w:val="211D1E"/>
          <w:szCs w:val="18"/>
        </w:rPr>
        <w:t>analytical in</w:t>
      </w:r>
      <w:r w:rsidRPr="005D221C">
        <w:rPr>
          <w:rFonts w:eastAsia="STIXGeneral"/>
          <w:color w:val="211D1E"/>
          <w:szCs w:val="18"/>
        </w:rPr>
        <w:softHyphen/>
        <w:t xml:space="preserve">tegration, </w:t>
      </w:r>
    </w:p>
    <w:p w:rsidR="005D221C" w:rsidRDefault="005D221C" w:rsidP="005D221C">
      <w:pPr>
        <w:pStyle w:val="Default"/>
        <w:rPr>
          <w:rFonts w:eastAsia="STIXGeneral"/>
          <w:color w:val="211D1E"/>
          <w:szCs w:val="18"/>
        </w:rPr>
      </w:pPr>
      <w:r w:rsidRPr="005D221C">
        <w:rPr>
          <w:rFonts w:eastAsia="STIXGeneral"/>
          <w:b/>
          <w:bCs/>
          <w:color w:val="211D1E"/>
          <w:szCs w:val="18"/>
        </w:rPr>
        <w:t xml:space="preserve">(b) </w:t>
      </w:r>
      <w:r w:rsidRPr="005D221C">
        <w:rPr>
          <w:rFonts w:eastAsia="STIXGeneral"/>
          <w:color w:val="211D1E"/>
          <w:szCs w:val="18"/>
        </w:rPr>
        <w:t xml:space="preserve">composite trapezoidal rule, and </w:t>
      </w:r>
    </w:p>
    <w:p w:rsidR="005D221C" w:rsidRDefault="005D221C" w:rsidP="005D221C">
      <w:pPr>
        <w:pStyle w:val="Default"/>
        <w:rPr>
          <w:rFonts w:eastAsia="STIXGeneral"/>
          <w:color w:val="211D1E"/>
          <w:szCs w:val="18"/>
        </w:rPr>
      </w:pPr>
      <w:r w:rsidRPr="005D221C">
        <w:rPr>
          <w:rFonts w:eastAsia="STIXGeneral"/>
          <w:b/>
          <w:bCs/>
          <w:color w:val="211D1E"/>
          <w:szCs w:val="18"/>
        </w:rPr>
        <w:t xml:space="preserve">(c) </w:t>
      </w:r>
      <w:r w:rsidRPr="005D221C">
        <w:rPr>
          <w:rFonts w:eastAsia="STIXGeneral"/>
          <w:color w:val="211D1E"/>
          <w:szCs w:val="18"/>
        </w:rPr>
        <w:t xml:space="preserve">composite Simpson’s rules. </w:t>
      </w:r>
    </w:p>
    <w:p w:rsidR="005D221C" w:rsidRDefault="005D221C" w:rsidP="005D221C">
      <w:pPr>
        <w:pStyle w:val="Default"/>
        <w:rPr>
          <w:rFonts w:eastAsia="STIXGeneral"/>
          <w:color w:val="211D1E"/>
          <w:szCs w:val="18"/>
        </w:rPr>
      </w:pPr>
    </w:p>
    <w:p w:rsidR="005F2DD7" w:rsidRPr="005D221C" w:rsidRDefault="005D221C" w:rsidP="005D221C">
      <w:pPr>
        <w:pStyle w:val="Default"/>
      </w:pPr>
      <w:r w:rsidRPr="005D221C">
        <w:rPr>
          <w:rFonts w:eastAsia="STIXGeneral"/>
          <w:color w:val="211D1E"/>
          <w:szCs w:val="18"/>
        </w:rPr>
        <w:t xml:space="preserve">For </w:t>
      </w:r>
      <w:r w:rsidRPr="005D221C">
        <w:rPr>
          <w:rFonts w:eastAsia="STIXGeneral"/>
          <w:b/>
          <w:bCs/>
          <w:color w:val="211D1E"/>
          <w:szCs w:val="18"/>
        </w:rPr>
        <w:t xml:space="preserve">(b) </w:t>
      </w:r>
      <w:r w:rsidRPr="005D221C">
        <w:rPr>
          <w:rFonts w:eastAsia="STIXGeneral"/>
          <w:color w:val="211D1E"/>
          <w:szCs w:val="18"/>
        </w:rPr>
        <w:t xml:space="preserve">and </w:t>
      </w:r>
      <w:r w:rsidRPr="005D221C">
        <w:rPr>
          <w:rFonts w:eastAsia="STIXGeneral"/>
          <w:b/>
          <w:bCs/>
          <w:color w:val="211D1E"/>
          <w:szCs w:val="18"/>
        </w:rPr>
        <w:t xml:space="preserve">(c) </w:t>
      </w:r>
      <w:r w:rsidRPr="005D221C">
        <w:rPr>
          <w:rFonts w:eastAsia="STIXGeneral"/>
          <w:color w:val="211D1E"/>
          <w:szCs w:val="18"/>
        </w:rPr>
        <w:t>use 1-m increments.</w:t>
      </w:r>
    </w:p>
    <w:sectPr w:rsidR="005F2DD7" w:rsidRPr="005D221C"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Words>
  <Characters>413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2017-03-19T21:44:00Z</dcterms:created>
  <dcterms:modified xsi:type="dcterms:W3CDTF">2017-03-19T21:44:00Z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