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9B4968">
        <w:rPr>
          <w:b/>
          <w:noProof/>
          <w:sz w:val="20"/>
          <w:szCs w:val="20"/>
        </w:rPr>
        <w:t>9.13</w:t>
      </w:r>
    </w:p>
    <w:p w:rsidR="00D74D1B" w:rsidRDefault="00D74D1B" w:rsidP="001B2705">
      <w:pPr>
        <w:pStyle w:val="Default"/>
        <w:rPr>
          <w:b/>
          <w:noProof/>
          <w:sz w:val="20"/>
          <w:szCs w:val="20"/>
        </w:rPr>
      </w:pPr>
    </w:p>
    <w:p w:rsidR="009B4968" w:rsidRPr="009B4968" w:rsidRDefault="009B4968" w:rsidP="009B4968">
      <w:pPr>
        <w:spacing w:after="0" w:line="240" w:lineRule="auto"/>
        <w:rPr>
          <w:rFonts w:ascii="STIX" w:eastAsia="Times New Roman" w:hAnsi="STIX"/>
          <w:sz w:val="20"/>
          <w:szCs w:val="24"/>
        </w:rPr>
      </w:pPr>
      <w:r w:rsidRPr="009B4968">
        <w:rPr>
          <w:rFonts w:ascii="STIX" w:eastAsia="Times New Roman" w:hAnsi="STIX"/>
          <w:sz w:val="20"/>
          <w:szCs w:val="24"/>
        </w:rPr>
        <w:t>We can set up a table that contains the values comprising the integrand</w:t>
      </w:r>
    </w:p>
    <w:p w:rsidR="009B4968" w:rsidRPr="009B4968" w:rsidRDefault="009B4968" w:rsidP="009B4968">
      <w:pPr>
        <w:spacing w:after="0" w:line="240" w:lineRule="auto"/>
        <w:rPr>
          <w:rFonts w:ascii="STIX" w:eastAsia="Times New Roman" w:hAnsi="STIX"/>
          <w:b/>
          <w:sz w:val="20"/>
          <w:szCs w:val="24"/>
        </w:rPr>
      </w:pPr>
    </w:p>
    <w:tbl>
      <w:tblPr>
        <w:tblW w:w="4320" w:type="dxa"/>
        <w:tblInd w:w="468" w:type="dxa"/>
        <w:tblLook w:val="0000"/>
      </w:tblPr>
      <w:tblGrid>
        <w:gridCol w:w="900"/>
        <w:gridCol w:w="1080"/>
        <w:gridCol w:w="1080"/>
        <w:gridCol w:w="1260"/>
      </w:tblGrid>
      <w:tr w:rsidR="009B4968" w:rsidRPr="009B4968" w:rsidTr="00FF7247">
        <w:trPr>
          <w:trHeight w:val="144"/>
        </w:trPr>
        <w:tc>
          <w:tcPr>
            <w:tcW w:w="900" w:type="dxa"/>
            <w:tcBorders>
              <w:top w:val="single" w:sz="12" w:space="0" w:color="auto"/>
              <w:left w:val="nil"/>
              <w:bottom w:val="single" w:sz="4" w:space="0" w:color="auto"/>
              <w:right w:val="nil"/>
            </w:tcBorders>
            <w:vAlign w:val="center"/>
          </w:tcPr>
          <w:p w:rsidR="009B4968" w:rsidRPr="009B4968" w:rsidRDefault="009B4968" w:rsidP="009B4968">
            <w:pPr>
              <w:spacing w:after="0" w:line="240" w:lineRule="auto"/>
              <w:jc w:val="center"/>
              <w:rPr>
                <w:rFonts w:ascii="STIX MathJax Main" w:eastAsia="Times New Roman" w:hAnsi="STIX MathJax Main" w:cs="STIX MathJax Main"/>
                <w:b/>
                <w:sz w:val="18"/>
                <w:szCs w:val="20"/>
              </w:rPr>
            </w:pPr>
            <w:r w:rsidRPr="009B4968">
              <w:rPr>
                <w:rFonts w:ascii="STIX" w:eastAsia="Times New Roman" w:hAnsi="STIX" w:cs="STIX MathJax Main"/>
                <w:b/>
                <w:i/>
                <w:sz w:val="18"/>
                <w:szCs w:val="20"/>
              </w:rPr>
              <w:t>x</w:t>
            </w:r>
            <w:r w:rsidRPr="009B4968">
              <w:rPr>
                <w:rFonts w:ascii="STIX" w:eastAsia="Times New Roman" w:hAnsi="STIX" w:cs="STIX MathJax Main"/>
                <w:b/>
                <w:sz w:val="18"/>
                <w:szCs w:val="20"/>
              </w:rPr>
              <w:t>, cm</w:t>
            </w:r>
          </w:p>
        </w:tc>
        <w:tc>
          <w:tcPr>
            <w:tcW w:w="1080" w:type="dxa"/>
            <w:tcBorders>
              <w:top w:val="single" w:sz="12" w:space="0" w:color="auto"/>
              <w:left w:val="nil"/>
              <w:bottom w:val="single" w:sz="4" w:space="0" w:color="auto"/>
              <w:right w:val="nil"/>
            </w:tcBorders>
            <w:shd w:val="clear" w:color="auto" w:fill="auto"/>
            <w:noWrap/>
            <w:vAlign w:val="center"/>
          </w:tcPr>
          <w:p w:rsidR="009B4968" w:rsidRPr="009B4968" w:rsidRDefault="009B4968" w:rsidP="009B4968">
            <w:pPr>
              <w:spacing w:after="0" w:line="240" w:lineRule="auto"/>
              <w:jc w:val="center"/>
              <w:rPr>
                <w:rFonts w:ascii="STIX MathJax Main" w:eastAsia="Times New Roman" w:hAnsi="STIX MathJax Main" w:cs="STIX MathJax Main"/>
                <w:b/>
                <w:sz w:val="18"/>
                <w:szCs w:val="20"/>
              </w:rPr>
            </w:pPr>
            <w:r w:rsidRPr="009B4968">
              <w:rPr>
                <w:rFonts w:ascii="Courier New" w:eastAsia="Times New Roman" w:hAnsi="Courier New" w:cs="STIX MathJax Main"/>
                <w:b/>
                <w:i/>
                <w:sz w:val="18"/>
                <w:szCs w:val="20"/>
              </w:rPr>
              <w:sym w:font="Symbol" w:char="F072"/>
            </w:r>
            <w:r w:rsidRPr="009B4968">
              <w:rPr>
                <w:rFonts w:ascii="STIX" w:eastAsia="Times New Roman" w:hAnsi="STIX" w:cs="STIX MathJax Main"/>
                <w:b/>
                <w:sz w:val="18"/>
                <w:szCs w:val="20"/>
              </w:rPr>
              <w:t>, g</w:t>
            </w:r>
            <w:r w:rsidRPr="009B4968">
              <w:rPr>
                <w:rFonts w:ascii="Courier New" w:eastAsia="Times New Roman" w:hAnsi="Courier New" w:cs="STIX MathJax Main"/>
                <w:b/>
                <w:sz w:val="18"/>
                <w:szCs w:val="20"/>
              </w:rPr>
              <w:t>/</w:t>
            </w:r>
            <w:r w:rsidRPr="009B4968">
              <w:rPr>
                <w:rFonts w:ascii="STIX" w:eastAsia="Times New Roman" w:hAnsi="STIX" w:cs="STIX MathJax Main"/>
                <w:b/>
                <w:sz w:val="18"/>
                <w:szCs w:val="20"/>
              </w:rPr>
              <w:t>cm</w:t>
            </w:r>
            <w:r w:rsidRPr="009B4968">
              <w:rPr>
                <w:rFonts w:ascii="STIX" w:eastAsia="Times New Roman" w:hAnsi="STIX" w:cs="STIX MathJax Main"/>
                <w:b/>
                <w:sz w:val="18"/>
                <w:szCs w:val="20"/>
                <w:vertAlign w:val="superscript"/>
              </w:rPr>
              <w:t>3</w:t>
            </w:r>
          </w:p>
        </w:tc>
        <w:tc>
          <w:tcPr>
            <w:tcW w:w="1080" w:type="dxa"/>
            <w:tcBorders>
              <w:top w:val="single" w:sz="12" w:space="0" w:color="auto"/>
              <w:left w:val="nil"/>
              <w:bottom w:val="single" w:sz="4" w:space="0" w:color="auto"/>
              <w:right w:val="nil"/>
            </w:tcBorders>
            <w:shd w:val="clear" w:color="auto" w:fill="auto"/>
            <w:noWrap/>
            <w:vAlign w:val="center"/>
          </w:tcPr>
          <w:p w:rsidR="009B4968" w:rsidRPr="009B4968" w:rsidRDefault="009B4968" w:rsidP="009B4968">
            <w:pPr>
              <w:spacing w:after="0" w:line="240" w:lineRule="auto"/>
              <w:jc w:val="center"/>
              <w:rPr>
                <w:rFonts w:ascii="STIX MathJax Main" w:eastAsia="Times New Roman" w:hAnsi="STIX MathJax Main" w:cs="STIX MathJax Main"/>
                <w:b/>
                <w:sz w:val="18"/>
                <w:szCs w:val="20"/>
              </w:rPr>
            </w:pPr>
            <w:r w:rsidRPr="009B4968">
              <w:rPr>
                <w:rFonts w:ascii="STIX" w:eastAsia="Times New Roman" w:hAnsi="STIX" w:cs="STIX MathJax Main"/>
                <w:b/>
                <w:i/>
                <w:sz w:val="18"/>
                <w:szCs w:val="20"/>
              </w:rPr>
              <w:t>A</w:t>
            </w:r>
            <w:r w:rsidRPr="009B4968">
              <w:rPr>
                <w:rFonts w:ascii="STIX" w:eastAsia="Times New Roman" w:hAnsi="STIX" w:cs="STIX MathJax Main"/>
                <w:b/>
                <w:i/>
                <w:sz w:val="18"/>
                <w:szCs w:val="20"/>
                <w:vertAlign w:val="subscript"/>
              </w:rPr>
              <w:t>c</w:t>
            </w:r>
            <w:r w:rsidRPr="009B4968">
              <w:rPr>
                <w:rFonts w:ascii="STIX" w:eastAsia="Times New Roman" w:hAnsi="STIX" w:cs="STIX MathJax Main"/>
                <w:b/>
                <w:sz w:val="18"/>
                <w:szCs w:val="20"/>
              </w:rPr>
              <w:t>, cm</w:t>
            </w:r>
            <w:r w:rsidRPr="009B4968">
              <w:rPr>
                <w:rFonts w:ascii="STIX" w:eastAsia="Times New Roman" w:hAnsi="STIX" w:cs="STIX MathJax Main"/>
                <w:b/>
                <w:sz w:val="18"/>
                <w:szCs w:val="20"/>
                <w:vertAlign w:val="superscript"/>
              </w:rPr>
              <w:t>2</w:t>
            </w:r>
          </w:p>
        </w:tc>
        <w:tc>
          <w:tcPr>
            <w:tcW w:w="1260" w:type="dxa"/>
            <w:tcBorders>
              <w:top w:val="single" w:sz="12" w:space="0" w:color="auto"/>
              <w:left w:val="nil"/>
              <w:bottom w:val="single" w:sz="4" w:space="0" w:color="auto"/>
              <w:right w:val="nil"/>
            </w:tcBorders>
            <w:shd w:val="clear" w:color="auto" w:fill="auto"/>
            <w:noWrap/>
            <w:vAlign w:val="center"/>
          </w:tcPr>
          <w:p w:rsidR="009B4968" w:rsidRPr="009B4968" w:rsidRDefault="009B4968" w:rsidP="009B4968">
            <w:pPr>
              <w:spacing w:after="0" w:line="240" w:lineRule="auto"/>
              <w:jc w:val="center"/>
              <w:rPr>
                <w:rFonts w:ascii="STIX MathJax Main" w:eastAsia="Times New Roman" w:hAnsi="STIX MathJax Main" w:cs="STIX MathJax Main"/>
                <w:b/>
                <w:sz w:val="18"/>
                <w:szCs w:val="20"/>
              </w:rPr>
            </w:pPr>
            <w:r w:rsidRPr="009B4968">
              <w:rPr>
                <w:rFonts w:ascii="Courier New" w:eastAsia="Times New Roman" w:hAnsi="Courier New" w:cs="STIX MathJax Main"/>
                <w:b/>
                <w:i/>
                <w:sz w:val="18"/>
                <w:szCs w:val="20"/>
              </w:rPr>
              <w:sym w:font="Symbol" w:char="F072"/>
            </w:r>
            <w:r w:rsidRPr="009B4968">
              <w:rPr>
                <w:rFonts w:ascii="Courier New" w:eastAsia="Times New Roman" w:hAnsi="Courier New" w:cs="STIX MathJax Main"/>
                <w:b/>
                <w:sz w:val="18"/>
                <w:szCs w:val="20"/>
              </w:rPr>
              <w:t>×</w:t>
            </w:r>
            <w:r w:rsidRPr="009B4968">
              <w:rPr>
                <w:rFonts w:ascii="STIX" w:eastAsia="Times New Roman" w:hAnsi="STIX" w:cs="STIX MathJax Main"/>
                <w:b/>
                <w:i/>
                <w:sz w:val="18"/>
                <w:szCs w:val="20"/>
              </w:rPr>
              <w:t>A</w:t>
            </w:r>
            <w:r w:rsidRPr="009B4968">
              <w:rPr>
                <w:rFonts w:ascii="STIX" w:eastAsia="Times New Roman" w:hAnsi="STIX" w:cs="STIX MathJax Main"/>
                <w:b/>
                <w:i/>
                <w:sz w:val="18"/>
                <w:szCs w:val="20"/>
                <w:vertAlign w:val="subscript"/>
              </w:rPr>
              <w:t>c</w:t>
            </w:r>
            <w:r w:rsidRPr="009B4968">
              <w:rPr>
                <w:rFonts w:ascii="STIX" w:eastAsia="Times New Roman" w:hAnsi="STIX" w:cs="STIX MathJax Main"/>
                <w:b/>
                <w:sz w:val="18"/>
                <w:szCs w:val="20"/>
              </w:rPr>
              <w:t>, g</w:t>
            </w:r>
            <w:r w:rsidRPr="009B4968">
              <w:rPr>
                <w:rFonts w:ascii="Courier New" w:eastAsia="Times New Roman" w:hAnsi="Courier New" w:cs="STIX MathJax Main"/>
                <w:b/>
                <w:sz w:val="18"/>
                <w:szCs w:val="20"/>
              </w:rPr>
              <w:t>/</w:t>
            </w:r>
            <w:r w:rsidRPr="009B4968">
              <w:rPr>
                <w:rFonts w:ascii="STIX" w:eastAsia="Times New Roman" w:hAnsi="STIX" w:cs="STIX MathJax Main"/>
                <w:b/>
                <w:sz w:val="18"/>
                <w:szCs w:val="20"/>
              </w:rPr>
              <w:t>cm</w:t>
            </w:r>
          </w:p>
        </w:tc>
      </w:tr>
      <w:tr w:rsidR="009B4968" w:rsidRPr="009B4968" w:rsidTr="00FF7247">
        <w:trPr>
          <w:trHeight w:val="144"/>
        </w:trPr>
        <w:tc>
          <w:tcPr>
            <w:tcW w:w="900" w:type="dxa"/>
            <w:tcBorders>
              <w:top w:val="single" w:sz="4" w:space="0" w:color="auto"/>
              <w:left w:val="nil"/>
              <w:bottom w:val="nil"/>
              <w:right w:val="nil"/>
            </w:tcBorders>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0</w:t>
            </w:r>
          </w:p>
        </w:tc>
        <w:tc>
          <w:tcPr>
            <w:tcW w:w="1080" w:type="dxa"/>
            <w:tcBorders>
              <w:top w:val="single" w:sz="4" w:space="0" w:color="auto"/>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4</w:t>
            </w:r>
          </w:p>
        </w:tc>
        <w:tc>
          <w:tcPr>
            <w:tcW w:w="1080" w:type="dxa"/>
            <w:tcBorders>
              <w:top w:val="single" w:sz="4" w:space="0" w:color="auto"/>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100</w:t>
            </w:r>
          </w:p>
        </w:tc>
        <w:tc>
          <w:tcPr>
            <w:tcW w:w="1260" w:type="dxa"/>
            <w:tcBorders>
              <w:top w:val="single" w:sz="4" w:space="0" w:color="auto"/>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400</w:t>
            </w:r>
          </w:p>
        </w:tc>
      </w:tr>
      <w:tr w:rsidR="009B4968" w:rsidRPr="009B4968" w:rsidTr="00FF7247">
        <w:trPr>
          <w:trHeight w:val="144"/>
        </w:trPr>
        <w:tc>
          <w:tcPr>
            <w:tcW w:w="900" w:type="dxa"/>
            <w:tcBorders>
              <w:top w:val="nil"/>
              <w:left w:val="nil"/>
              <w:bottom w:val="nil"/>
              <w:right w:val="nil"/>
            </w:tcBorders>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400</w:t>
            </w:r>
          </w:p>
        </w:tc>
        <w:tc>
          <w:tcPr>
            <w:tcW w:w="108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3.95</w:t>
            </w:r>
          </w:p>
        </w:tc>
        <w:tc>
          <w:tcPr>
            <w:tcW w:w="108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103</w:t>
            </w:r>
          </w:p>
        </w:tc>
        <w:tc>
          <w:tcPr>
            <w:tcW w:w="126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406.85</w:t>
            </w:r>
          </w:p>
        </w:tc>
      </w:tr>
      <w:tr w:rsidR="009B4968" w:rsidRPr="009B4968" w:rsidTr="00FF7247">
        <w:trPr>
          <w:trHeight w:val="144"/>
        </w:trPr>
        <w:tc>
          <w:tcPr>
            <w:tcW w:w="900" w:type="dxa"/>
            <w:tcBorders>
              <w:top w:val="nil"/>
              <w:left w:val="nil"/>
              <w:bottom w:val="nil"/>
              <w:right w:val="nil"/>
            </w:tcBorders>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600</w:t>
            </w:r>
          </w:p>
        </w:tc>
        <w:tc>
          <w:tcPr>
            <w:tcW w:w="108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3.89</w:t>
            </w:r>
          </w:p>
        </w:tc>
        <w:tc>
          <w:tcPr>
            <w:tcW w:w="108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106</w:t>
            </w:r>
          </w:p>
        </w:tc>
        <w:tc>
          <w:tcPr>
            <w:tcW w:w="126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412.34</w:t>
            </w:r>
          </w:p>
        </w:tc>
      </w:tr>
      <w:tr w:rsidR="009B4968" w:rsidRPr="009B4968" w:rsidTr="00FF7247">
        <w:trPr>
          <w:trHeight w:val="144"/>
        </w:trPr>
        <w:tc>
          <w:tcPr>
            <w:tcW w:w="900" w:type="dxa"/>
            <w:tcBorders>
              <w:top w:val="nil"/>
              <w:left w:val="nil"/>
              <w:bottom w:val="nil"/>
              <w:right w:val="nil"/>
            </w:tcBorders>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800</w:t>
            </w:r>
          </w:p>
        </w:tc>
        <w:tc>
          <w:tcPr>
            <w:tcW w:w="108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3.8</w:t>
            </w:r>
          </w:p>
        </w:tc>
        <w:tc>
          <w:tcPr>
            <w:tcW w:w="108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110</w:t>
            </w:r>
          </w:p>
        </w:tc>
        <w:tc>
          <w:tcPr>
            <w:tcW w:w="126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418</w:t>
            </w:r>
          </w:p>
        </w:tc>
      </w:tr>
      <w:tr w:rsidR="009B4968" w:rsidRPr="009B4968" w:rsidTr="00FF7247">
        <w:trPr>
          <w:trHeight w:val="144"/>
        </w:trPr>
        <w:tc>
          <w:tcPr>
            <w:tcW w:w="900" w:type="dxa"/>
            <w:tcBorders>
              <w:top w:val="nil"/>
              <w:left w:val="nil"/>
              <w:bottom w:val="nil"/>
              <w:right w:val="nil"/>
            </w:tcBorders>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1200</w:t>
            </w:r>
          </w:p>
        </w:tc>
        <w:tc>
          <w:tcPr>
            <w:tcW w:w="108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3.6</w:t>
            </w:r>
          </w:p>
        </w:tc>
        <w:tc>
          <w:tcPr>
            <w:tcW w:w="108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120</w:t>
            </w:r>
          </w:p>
        </w:tc>
        <w:tc>
          <w:tcPr>
            <w:tcW w:w="1260" w:type="dxa"/>
            <w:tcBorders>
              <w:top w:val="nil"/>
              <w:left w:val="nil"/>
              <w:bottom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432</w:t>
            </w:r>
          </w:p>
        </w:tc>
      </w:tr>
      <w:tr w:rsidR="009B4968" w:rsidRPr="009B4968" w:rsidTr="00FF7247">
        <w:trPr>
          <w:trHeight w:val="144"/>
        </w:trPr>
        <w:tc>
          <w:tcPr>
            <w:tcW w:w="900" w:type="dxa"/>
            <w:tcBorders>
              <w:top w:val="nil"/>
              <w:left w:val="nil"/>
              <w:right w:val="nil"/>
            </w:tcBorders>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1600</w:t>
            </w:r>
          </w:p>
        </w:tc>
        <w:tc>
          <w:tcPr>
            <w:tcW w:w="1080" w:type="dxa"/>
            <w:tcBorders>
              <w:top w:val="nil"/>
              <w:left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3.41</w:t>
            </w:r>
          </w:p>
        </w:tc>
        <w:tc>
          <w:tcPr>
            <w:tcW w:w="1080" w:type="dxa"/>
            <w:tcBorders>
              <w:top w:val="nil"/>
              <w:left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133</w:t>
            </w:r>
          </w:p>
        </w:tc>
        <w:tc>
          <w:tcPr>
            <w:tcW w:w="1260" w:type="dxa"/>
            <w:tcBorders>
              <w:top w:val="nil"/>
              <w:left w:val="nil"/>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453.53</w:t>
            </w:r>
          </w:p>
        </w:tc>
      </w:tr>
      <w:tr w:rsidR="009B4968" w:rsidRPr="009B4968" w:rsidTr="00FF7247">
        <w:trPr>
          <w:trHeight w:val="144"/>
        </w:trPr>
        <w:tc>
          <w:tcPr>
            <w:tcW w:w="900" w:type="dxa"/>
            <w:tcBorders>
              <w:top w:val="nil"/>
              <w:left w:val="nil"/>
              <w:bottom w:val="single" w:sz="12" w:space="0" w:color="auto"/>
              <w:right w:val="nil"/>
            </w:tcBorders>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2000</w:t>
            </w:r>
          </w:p>
        </w:tc>
        <w:tc>
          <w:tcPr>
            <w:tcW w:w="1080" w:type="dxa"/>
            <w:tcBorders>
              <w:top w:val="nil"/>
              <w:left w:val="nil"/>
              <w:bottom w:val="single" w:sz="12" w:space="0" w:color="auto"/>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3.3</w:t>
            </w:r>
          </w:p>
        </w:tc>
        <w:tc>
          <w:tcPr>
            <w:tcW w:w="1080" w:type="dxa"/>
            <w:tcBorders>
              <w:top w:val="nil"/>
              <w:left w:val="nil"/>
              <w:bottom w:val="single" w:sz="12" w:space="0" w:color="auto"/>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150</w:t>
            </w:r>
          </w:p>
        </w:tc>
        <w:tc>
          <w:tcPr>
            <w:tcW w:w="1260" w:type="dxa"/>
            <w:tcBorders>
              <w:top w:val="nil"/>
              <w:left w:val="nil"/>
              <w:bottom w:val="single" w:sz="12" w:space="0" w:color="auto"/>
              <w:right w:val="nil"/>
            </w:tcBorders>
            <w:shd w:val="clear" w:color="auto" w:fill="auto"/>
            <w:noWrap/>
            <w:vAlign w:val="center"/>
          </w:tcPr>
          <w:p w:rsidR="009B4968" w:rsidRPr="009B4968" w:rsidRDefault="009B4968" w:rsidP="009B4968">
            <w:pPr>
              <w:spacing w:after="0" w:line="240" w:lineRule="auto"/>
              <w:jc w:val="right"/>
              <w:rPr>
                <w:rFonts w:ascii="STIX MathJax Main" w:eastAsia="Times New Roman" w:hAnsi="STIX MathJax Main" w:cs="STIX MathJax Main"/>
                <w:sz w:val="18"/>
                <w:szCs w:val="20"/>
              </w:rPr>
            </w:pPr>
            <w:r w:rsidRPr="009B4968">
              <w:rPr>
                <w:rFonts w:ascii="STIX" w:eastAsia="Times New Roman" w:hAnsi="STIX" w:cs="STIX MathJax Main"/>
                <w:sz w:val="18"/>
                <w:szCs w:val="20"/>
              </w:rPr>
              <w:t>495</w:t>
            </w:r>
          </w:p>
        </w:tc>
      </w:tr>
    </w:tbl>
    <w:p w:rsidR="009B4968" w:rsidRPr="009B4968" w:rsidRDefault="009B4968" w:rsidP="009B4968">
      <w:pPr>
        <w:spacing w:after="0" w:line="240" w:lineRule="auto"/>
        <w:ind w:right="-360"/>
        <w:rPr>
          <w:rFonts w:ascii="STIX" w:eastAsia="Times New Roman" w:hAnsi="STIX"/>
          <w:sz w:val="20"/>
        </w:rPr>
      </w:pPr>
    </w:p>
    <w:p w:rsidR="009B4968" w:rsidRPr="009B4968" w:rsidRDefault="009B4968" w:rsidP="009B4968">
      <w:pPr>
        <w:spacing w:after="0" w:line="240" w:lineRule="auto"/>
        <w:ind w:right="-360"/>
        <w:rPr>
          <w:rFonts w:ascii="STIX" w:eastAsia="Times New Roman" w:hAnsi="STIX"/>
          <w:sz w:val="20"/>
        </w:rPr>
      </w:pPr>
      <w:r w:rsidRPr="009B4968">
        <w:rPr>
          <w:rFonts w:ascii="STIX" w:eastAsia="Times New Roman" w:hAnsi="STIX"/>
          <w:sz w:val="20"/>
        </w:rPr>
        <w:t>We can integrate this data using a combination of the trapezoidal and Simpson’s rules,</w:t>
      </w:r>
    </w:p>
    <w:p w:rsidR="009B4968" w:rsidRPr="009B4968" w:rsidRDefault="009B4968" w:rsidP="009B4968">
      <w:pPr>
        <w:spacing w:after="0" w:line="240" w:lineRule="auto"/>
        <w:ind w:right="-360"/>
        <w:rPr>
          <w:rFonts w:ascii="STIX" w:eastAsia="Times New Roman" w:hAnsi="STIX"/>
          <w:sz w:val="20"/>
        </w:rPr>
      </w:pPr>
    </w:p>
    <w:p w:rsidR="009B4968" w:rsidRPr="009B4968" w:rsidRDefault="009B4968" w:rsidP="009B4968">
      <w:pPr>
        <w:spacing w:after="0" w:line="240" w:lineRule="auto"/>
        <w:rPr>
          <w:rFonts w:ascii="STIX" w:eastAsia="Times New Roman" w:hAnsi="STIX"/>
          <w:sz w:val="20"/>
          <w:szCs w:val="24"/>
        </w:rPr>
      </w:pPr>
      <w:r w:rsidRPr="009B4968">
        <w:rPr>
          <w:rFonts w:ascii="STIX" w:eastAsia="Times New Roman" w:hAnsi="STIX"/>
          <w:position w:val="-56"/>
          <w:sz w:val="20"/>
          <w:szCs w:val="24"/>
        </w:rPr>
        <w:object w:dxaOrig="810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23" type="#_x0000_t75" style="width:405pt;height:62.25pt" o:ole="">
            <v:imagedata r:id="rId8" o:title=""/>
          </v:shape>
          <o:OLEObject Type="Embed" ProgID="Equation.DSMT4" ShapeID="_x0000_i2123" DrawAspect="Content" ObjectID="_1552477307" r:id="rId9"/>
        </w:object>
      </w:r>
    </w:p>
    <w:p w:rsidR="00600E9B" w:rsidRPr="00600E9B" w:rsidRDefault="00600E9B" w:rsidP="009B4968">
      <w:pPr>
        <w:spacing w:after="0" w:line="240" w:lineRule="auto"/>
        <w:rPr>
          <w:rFonts w:ascii="Courier New" w:eastAsia="Times New Roman" w:hAnsi="Courier New" w:cs="Courier New"/>
          <w:sz w:val="18"/>
          <w:szCs w:val="24"/>
        </w:rPr>
      </w:pPr>
    </w:p>
    <w:sectPr w:rsidR="00600E9B" w:rsidRPr="00600E9B"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CDB55-8FC4-40E6-A373-6E81CB42A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317</Characters>
  <Application>Microsoft Office Word</Application>
  <DocSecurity>0</DocSecurity>
  <Lines>2</Lines>
  <Paragraphs>1</Paragraphs>
  <ScaleCrop>false</ScaleCrop>
  <Company/>
  <LinksUpToDate>false</LinksUpToDate>
  <CharactersWithSpaces>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2017-03-31T17:00:00Z</dcterms:created>
  <dcterms:modified xsi:type="dcterms:W3CDTF">2017-03-31T17:00:00Z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