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C50379">
        <w:rPr>
          <w:b/>
          <w:noProof/>
          <w:sz w:val="20"/>
          <w:szCs w:val="20"/>
        </w:rPr>
        <w:t>9.17</w:t>
      </w:r>
    </w:p>
    <w:p w:rsidR="00D74D1B" w:rsidRDefault="00D74D1B" w:rsidP="001B2705">
      <w:pPr>
        <w:pStyle w:val="Default"/>
        <w:rPr>
          <w:b/>
          <w:noProof/>
          <w:sz w:val="20"/>
          <w:szCs w:val="20"/>
        </w:rPr>
      </w:pPr>
    </w:p>
    <w:p w:rsidR="00C50379" w:rsidRPr="00C50379" w:rsidRDefault="00C50379" w:rsidP="00C50379">
      <w:pPr>
        <w:spacing w:after="0" w:line="240" w:lineRule="auto"/>
        <w:ind w:left="360" w:hanging="360"/>
        <w:rPr>
          <w:rFonts w:ascii="STIX" w:eastAsia="Times New Roman" w:hAnsi="STIX"/>
          <w:sz w:val="20"/>
          <w:szCs w:val="24"/>
        </w:rPr>
      </w:pPr>
      <w:r w:rsidRPr="00C50379">
        <w:rPr>
          <w:rFonts w:ascii="STIX" w:eastAsia="Times New Roman" w:hAnsi="STIX"/>
          <w:sz w:val="20"/>
          <w:szCs w:val="24"/>
        </w:rPr>
        <w:t>A table can be set up to hold the values that are to be integrated:</w:t>
      </w:r>
    </w:p>
    <w:p w:rsidR="00C50379" w:rsidRPr="00C50379" w:rsidRDefault="00C50379" w:rsidP="00C50379">
      <w:pPr>
        <w:spacing w:after="0" w:line="240" w:lineRule="auto"/>
        <w:rPr>
          <w:rFonts w:ascii="STIX" w:eastAsia="Times New Roman" w:hAnsi="STIX"/>
          <w:sz w:val="20"/>
          <w:szCs w:val="24"/>
        </w:rPr>
      </w:pPr>
    </w:p>
    <w:tbl>
      <w:tblPr>
        <w:tblW w:w="3600" w:type="dxa"/>
        <w:tblInd w:w="468" w:type="dxa"/>
        <w:tblLook w:val="0000"/>
      </w:tblPr>
      <w:tblGrid>
        <w:gridCol w:w="720"/>
        <w:gridCol w:w="825"/>
        <w:gridCol w:w="960"/>
        <w:gridCol w:w="1095"/>
      </w:tblGrid>
      <w:tr w:rsidR="00C50379" w:rsidRPr="00C50379" w:rsidTr="00FF7247">
        <w:trPr>
          <w:trHeight w:val="144"/>
        </w:trPr>
        <w:tc>
          <w:tcPr>
            <w:tcW w:w="720" w:type="dxa"/>
            <w:tcBorders>
              <w:top w:val="single" w:sz="12" w:space="0" w:color="auto"/>
              <w:left w:val="nil"/>
              <w:bottom w:val="single" w:sz="4" w:space="0" w:color="auto"/>
              <w:right w:val="nil"/>
            </w:tcBorders>
            <w:shd w:val="clear" w:color="auto" w:fill="auto"/>
            <w:noWrap/>
            <w:vAlign w:val="center"/>
          </w:tcPr>
          <w:p w:rsidR="00C50379" w:rsidRPr="00C50379" w:rsidRDefault="00C50379" w:rsidP="00C50379">
            <w:pPr>
              <w:spacing w:after="0" w:line="240" w:lineRule="auto"/>
              <w:jc w:val="center"/>
              <w:rPr>
                <w:rFonts w:ascii="STIX MathJax Main" w:eastAsia="Times New Roman" w:hAnsi="STIX MathJax Main" w:cs="STIX MathJax Main"/>
                <w:b/>
                <w:sz w:val="18"/>
                <w:szCs w:val="20"/>
              </w:rPr>
            </w:pPr>
            <w:r w:rsidRPr="00C50379">
              <w:rPr>
                <w:rFonts w:ascii="STIX" w:eastAsia="Times New Roman" w:hAnsi="STIX" w:cs="STIX MathJax Main"/>
                <w:b/>
                <w:i/>
                <w:sz w:val="18"/>
                <w:szCs w:val="20"/>
              </w:rPr>
              <w:t>y</w:t>
            </w:r>
            <w:r w:rsidRPr="00C50379">
              <w:rPr>
                <w:rFonts w:ascii="STIX" w:eastAsia="Times New Roman" w:hAnsi="STIX" w:cs="STIX MathJax Main"/>
                <w:b/>
                <w:sz w:val="18"/>
                <w:szCs w:val="20"/>
              </w:rPr>
              <w:t>, m</w:t>
            </w:r>
          </w:p>
        </w:tc>
        <w:tc>
          <w:tcPr>
            <w:tcW w:w="825" w:type="dxa"/>
            <w:tcBorders>
              <w:top w:val="single" w:sz="12" w:space="0" w:color="auto"/>
              <w:left w:val="nil"/>
              <w:bottom w:val="single" w:sz="4" w:space="0" w:color="auto"/>
              <w:right w:val="nil"/>
            </w:tcBorders>
            <w:shd w:val="clear" w:color="auto" w:fill="auto"/>
            <w:noWrap/>
            <w:vAlign w:val="center"/>
          </w:tcPr>
          <w:p w:rsidR="00C50379" w:rsidRPr="00C50379" w:rsidRDefault="00C50379" w:rsidP="00C50379">
            <w:pPr>
              <w:spacing w:after="0" w:line="240" w:lineRule="auto"/>
              <w:jc w:val="center"/>
              <w:rPr>
                <w:rFonts w:ascii="STIX MathJax Main" w:eastAsia="Times New Roman" w:hAnsi="STIX MathJax Main" w:cs="STIX MathJax Main"/>
                <w:b/>
                <w:sz w:val="18"/>
                <w:szCs w:val="20"/>
              </w:rPr>
            </w:pPr>
            <w:r w:rsidRPr="00C50379">
              <w:rPr>
                <w:rFonts w:ascii="STIX" w:eastAsia="Times New Roman" w:hAnsi="STIX" w:cs="STIX MathJax Main"/>
                <w:b/>
                <w:i/>
                <w:sz w:val="18"/>
                <w:szCs w:val="20"/>
              </w:rPr>
              <w:t>H</w:t>
            </w:r>
            <w:r w:rsidRPr="00C50379">
              <w:rPr>
                <w:rFonts w:ascii="STIX" w:eastAsia="Times New Roman" w:hAnsi="STIX" w:cs="STIX MathJax Main"/>
                <w:b/>
                <w:sz w:val="18"/>
                <w:szCs w:val="20"/>
              </w:rPr>
              <w:t>, m</w:t>
            </w:r>
          </w:p>
        </w:tc>
        <w:tc>
          <w:tcPr>
            <w:tcW w:w="960" w:type="dxa"/>
            <w:tcBorders>
              <w:top w:val="single" w:sz="12" w:space="0" w:color="auto"/>
              <w:left w:val="nil"/>
              <w:bottom w:val="single" w:sz="4" w:space="0" w:color="auto"/>
              <w:right w:val="nil"/>
            </w:tcBorders>
            <w:shd w:val="clear" w:color="auto" w:fill="auto"/>
            <w:noWrap/>
            <w:vAlign w:val="center"/>
          </w:tcPr>
          <w:p w:rsidR="00C50379" w:rsidRPr="00C50379" w:rsidRDefault="00C50379" w:rsidP="00C50379">
            <w:pPr>
              <w:spacing w:after="0" w:line="240" w:lineRule="auto"/>
              <w:jc w:val="center"/>
              <w:rPr>
                <w:rFonts w:ascii="STIX MathJax Main" w:eastAsia="Times New Roman" w:hAnsi="STIX MathJax Main" w:cs="STIX MathJax Main"/>
                <w:b/>
                <w:sz w:val="18"/>
                <w:szCs w:val="20"/>
              </w:rPr>
            </w:pPr>
            <w:r w:rsidRPr="00C50379">
              <w:rPr>
                <w:rFonts w:ascii="STIX" w:eastAsia="Times New Roman" w:hAnsi="STIX" w:cs="STIX MathJax Main"/>
                <w:b/>
                <w:i/>
                <w:sz w:val="18"/>
                <w:szCs w:val="20"/>
              </w:rPr>
              <w:t>U</w:t>
            </w:r>
            <w:r w:rsidRPr="00C50379">
              <w:rPr>
                <w:rFonts w:ascii="STIX" w:eastAsia="Times New Roman" w:hAnsi="STIX" w:cs="STIX MathJax Main"/>
                <w:b/>
                <w:sz w:val="18"/>
                <w:szCs w:val="20"/>
              </w:rPr>
              <w:t>, m</w:t>
            </w:r>
            <w:r w:rsidRPr="00C50379">
              <w:rPr>
                <w:rFonts w:ascii="Courier New" w:eastAsia="Times New Roman" w:hAnsi="Courier New" w:cs="STIX MathJax Main"/>
                <w:b/>
                <w:sz w:val="18"/>
                <w:szCs w:val="20"/>
              </w:rPr>
              <w:t>/</w:t>
            </w:r>
            <w:r w:rsidRPr="00C50379">
              <w:rPr>
                <w:rFonts w:ascii="STIX" w:eastAsia="Times New Roman" w:hAnsi="STIX" w:cs="STIX MathJax Main"/>
                <w:b/>
                <w:sz w:val="18"/>
                <w:szCs w:val="20"/>
              </w:rPr>
              <w:t>s</w:t>
            </w:r>
          </w:p>
        </w:tc>
        <w:tc>
          <w:tcPr>
            <w:tcW w:w="1095" w:type="dxa"/>
            <w:tcBorders>
              <w:top w:val="single" w:sz="12" w:space="0" w:color="auto"/>
              <w:left w:val="nil"/>
              <w:bottom w:val="single" w:sz="4" w:space="0" w:color="auto"/>
              <w:right w:val="nil"/>
            </w:tcBorders>
            <w:shd w:val="clear" w:color="auto" w:fill="auto"/>
            <w:noWrap/>
            <w:vAlign w:val="center"/>
          </w:tcPr>
          <w:p w:rsidR="00C50379" w:rsidRPr="00C50379" w:rsidRDefault="00C50379" w:rsidP="00C50379">
            <w:pPr>
              <w:spacing w:after="0" w:line="240" w:lineRule="auto"/>
              <w:jc w:val="center"/>
              <w:rPr>
                <w:rFonts w:ascii="STIX MathJax Main" w:eastAsia="Times New Roman" w:hAnsi="STIX MathJax Main" w:cs="STIX MathJax Main"/>
                <w:b/>
                <w:sz w:val="18"/>
                <w:szCs w:val="20"/>
              </w:rPr>
            </w:pPr>
            <w:r w:rsidRPr="00C50379">
              <w:rPr>
                <w:rFonts w:ascii="STIX" w:eastAsia="Times New Roman" w:hAnsi="STIX" w:cs="STIX MathJax Main"/>
                <w:b/>
                <w:i/>
                <w:sz w:val="18"/>
                <w:szCs w:val="20"/>
              </w:rPr>
              <w:t>UH</w:t>
            </w:r>
            <w:r w:rsidRPr="00C50379">
              <w:rPr>
                <w:rFonts w:ascii="STIX" w:eastAsia="Times New Roman" w:hAnsi="STIX" w:cs="STIX MathJax Main"/>
                <w:b/>
                <w:sz w:val="18"/>
                <w:szCs w:val="20"/>
              </w:rPr>
              <w:t>, m</w:t>
            </w:r>
            <w:r w:rsidRPr="00C50379">
              <w:rPr>
                <w:rFonts w:ascii="STIX" w:eastAsia="Times New Roman" w:hAnsi="STIX" w:cs="STIX MathJax Main"/>
                <w:b/>
                <w:sz w:val="18"/>
                <w:szCs w:val="20"/>
                <w:vertAlign w:val="superscript"/>
              </w:rPr>
              <w:t>2</w:t>
            </w:r>
            <w:r w:rsidRPr="00C50379">
              <w:rPr>
                <w:rFonts w:ascii="Courier New" w:eastAsia="Times New Roman" w:hAnsi="Courier New" w:cs="STIX MathJax Main"/>
                <w:b/>
                <w:sz w:val="18"/>
                <w:szCs w:val="20"/>
              </w:rPr>
              <w:t>/</w:t>
            </w:r>
            <w:r w:rsidRPr="00C50379">
              <w:rPr>
                <w:rFonts w:ascii="STIX" w:eastAsia="Times New Roman" w:hAnsi="STIX" w:cs="STIX MathJax Main"/>
                <w:b/>
                <w:sz w:val="18"/>
                <w:szCs w:val="20"/>
              </w:rPr>
              <w:t>s</w:t>
            </w:r>
          </w:p>
        </w:tc>
      </w:tr>
      <w:tr w:rsidR="00C50379" w:rsidRPr="00C50379" w:rsidTr="00FF7247">
        <w:trPr>
          <w:trHeight w:val="144"/>
        </w:trPr>
        <w:tc>
          <w:tcPr>
            <w:tcW w:w="720" w:type="dxa"/>
            <w:tcBorders>
              <w:top w:val="single" w:sz="4" w:space="0" w:color="auto"/>
              <w:left w:val="nil"/>
              <w:bottom w:val="nil"/>
              <w:right w:val="nil"/>
            </w:tcBorders>
            <w:shd w:val="clear" w:color="auto" w:fill="auto"/>
            <w:noWrap/>
            <w:vAlign w:val="center"/>
          </w:tcPr>
          <w:p w:rsidR="00C50379" w:rsidRPr="00C50379" w:rsidRDefault="00C50379" w:rsidP="00C50379">
            <w:pPr>
              <w:spacing w:after="0" w:line="240" w:lineRule="auto"/>
              <w:jc w:val="center"/>
              <w:rPr>
                <w:rFonts w:ascii="STIX MathJax Main" w:eastAsia="Times New Roman" w:hAnsi="STIX MathJax Main" w:cs="STIX MathJax Main"/>
                <w:sz w:val="18"/>
                <w:szCs w:val="20"/>
              </w:rPr>
            </w:pPr>
            <w:r w:rsidRPr="00C50379">
              <w:rPr>
                <w:rFonts w:ascii="STIX" w:eastAsia="Times New Roman" w:hAnsi="STIX" w:cs="STIX MathJax Main"/>
                <w:sz w:val="18"/>
                <w:szCs w:val="20"/>
              </w:rPr>
              <w:t>0</w:t>
            </w:r>
          </w:p>
        </w:tc>
        <w:tc>
          <w:tcPr>
            <w:tcW w:w="825" w:type="dxa"/>
            <w:tcBorders>
              <w:top w:val="single" w:sz="4" w:space="0" w:color="auto"/>
              <w:left w:val="nil"/>
              <w:bottom w:val="nil"/>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0.5</w:t>
            </w:r>
          </w:p>
        </w:tc>
        <w:tc>
          <w:tcPr>
            <w:tcW w:w="960" w:type="dxa"/>
            <w:tcBorders>
              <w:top w:val="single" w:sz="4" w:space="0" w:color="auto"/>
              <w:left w:val="nil"/>
              <w:bottom w:val="nil"/>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0.03</w:t>
            </w:r>
          </w:p>
        </w:tc>
        <w:tc>
          <w:tcPr>
            <w:tcW w:w="1095" w:type="dxa"/>
            <w:tcBorders>
              <w:top w:val="single" w:sz="4" w:space="0" w:color="auto"/>
              <w:left w:val="nil"/>
              <w:bottom w:val="nil"/>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0.015</w:t>
            </w:r>
          </w:p>
        </w:tc>
      </w:tr>
      <w:tr w:rsidR="00C50379" w:rsidRPr="00C50379" w:rsidTr="00FF7247">
        <w:trPr>
          <w:trHeight w:val="144"/>
        </w:trPr>
        <w:tc>
          <w:tcPr>
            <w:tcW w:w="720" w:type="dxa"/>
            <w:tcBorders>
              <w:top w:val="nil"/>
              <w:left w:val="nil"/>
              <w:bottom w:val="nil"/>
              <w:right w:val="nil"/>
            </w:tcBorders>
            <w:shd w:val="clear" w:color="auto" w:fill="auto"/>
            <w:noWrap/>
            <w:vAlign w:val="center"/>
          </w:tcPr>
          <w:p w:rsidR="00C50379" w:rsidRPr="00C50379" w:rsidRDefault="00C50379" w:rsidP="00C50379">
            <w:pPr>
              <w:spacing w:after="0" w:line="240" w:lineRule="auto"/>
              <w:jc w:val="center"/>
              <w:rPr>
                <w:rFonts w:ascii="STIX MathJax Main" w:eastAsia="Times New Roman" w:hAnsi="STIX MathJax Main" w:cs="STIX MathJax Main"/>
                <w:sz w:val="18"/>
                <w:szCs w:val="20"/>
              </w:rPr>
            </w:pPr>
            <w:r w:rsidRPr="00C50379">
              <w:rPr>
                <w:rFonts w:ascii="STIX" w:eastAsia="Times New Roman" w:hAnsi="STIX" w:cs="STIX MathJax Main"/>
                <w:sz w:val="18"/>
                <w:szCs w:val="20"/>
              </w:rPr>
              <w:t>2</w:t>
            </w:r>
          </w:p>
        </w:tc>
        <w:tc>
          <w:tcPr>
            <w:tcW w:w="825" w:type="dxa"/>
            <w:tcBorders>
              <w:top w:val="nil"/>
              <w:left w:val="nil"/>
              <w:bottom w:val="nil"/>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1.3</w:t>
            </w:r>
          </w:p>
        </w:tc>
        <w:tc>
          <w:tcPr>
            <w:tcW w:w="960" w:type="dxa"/>
            <w:tcBorders>
              <w:top w:val="nil"/>
              <w:left w:val="nil"/>
              <w:bottom w:val="nil"/>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0.06</w:t>
            </w:r>
          </w:p>
        </w:tc>
        <w:tc>
          <w:tcPr>
            <w:tcW w:w="1095" w:type="dxa"/>
            <w:tcBorders>
              <w:top w:val="nil"/>
              <w:left w:val="nil"/>
              <w:bottom w:val="nil"/>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0.078</w:t>
            </w:r>
          </w:p>
        </w:tc>
      </w:tr>
      <w:tr w:rsidR="00C50379" w:rsidRPr="00C50379" w:rsidTr="00FF7247">
        <w:trPr>
          <w:trHeight w:val="144"/>
        </w:trPr>
        <w:tc>
          <w:tcPr>
            <w:tcW w:w="720" w:type="dxa"/>
            <w:tcBorders>
              <w:top w:val="nil"/>
              <w:left w:val="nil"/>
              <w:bottom w:val="nil"/>
              <w:right w:val="nil"/>
            </w:tcBorders>
            <w:shd w:val="clear" w:color="auto" w:fill="auto"/>
            <w:noWrap/>
            <w:vAlign w:val="center"/>
          </w:tcPr>
          <w:p w:rsidR="00C50379" w:rsidRPr="00C50379" w:rsidRDefault="00C50379" w:rsidP="00C50379">
            <w:pPr>
              <w:spacing w:after="0" w:line="240" w:lineRule="auto"/>
              <w:jc w:val="center"/>
              <w:rPr>
                <w:rFonts w:ascii="STIX MathJax Main" w:eastAsia="Times New Roman" w:hAnsi="STIX MathJax Main" w:cs="STIX MathJax Main"/>
                <w:sz w:val="18"/>
                <w:szCs w:val="20"/>
              </w:rPr>
            </w:pPr>
            <w:r w:rsidRPr="00C50379">
              <w:rPr>
                <w:rFonts w:ascii="STIX" w:eastAsia="Times New Roman" w:hAnsi="STIX" w:cs="STIX MathJax Main"/>
                <w:sz w:val="18"/>
                <w:szCs w:val="20"/>
              </w:rPr>
              <w:t>4</w:t>
            </w:r>
          </w:p>
        </w:tc>
        <w:tc>
          <w:tcPr>
            <w:tcW w:w="825" w:type="dxa"/>
            <w:tcBorders>
              <w:top w:val="nil"/>
              <w:left w:val="nil"/>
              <w:bottom w:val="nil"/>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1.25</w:t>
            </w:r>
          </w:p>
        </w:tc>
        <w:tc>
          <w:tcPr>
            <w:tcW w:w="960" w:type="dxa"/>
            <w:tcBorders>
              <w:top w:val="nil"/>
              <w:left w:val="nil"/>
              <w:bottom w:val="nil"/>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0.05</w:t>
            </w:r>
          </w:p>
        </w:tc>
        <w:tc>
          <w:tcPr>
            <w:tcW w:w="1095" w:type="dxa"/>
            <w:tcBorders>
              <w:top w:val="nil"/>
              <w:left w:val="nil"/>
              <w:bottom w:val="nil"/>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0.0625</w:t>
            </w:r>
          </w:p>
        </w:tc>
      </w:tr>
      <w:tr w:rsidR="00C50379" w:rsidRPr="00C50379" w:rsidTr="00FF7247">
        <w:trPr>
          <w:trHeight w:val="144"/>
        </w:trPr>
        <w:tc>
          <w:tcPr>
            <w:tcW w:w="720" w:type="dxa"/>
            <w:tcBorders>
              <w:top w:val="nil"/>
              <w:left w:val="nil"/>
              <w:bottom w:val="nil"/>
              <w:right w:val="nil"/>
            </w:tcBorders>
            <w:shd w:val="clear" w:color="auto" w:fill="auto"/>
            <w:noWrap/>
            <w:vAlign w:val="center"/>
          </w:tcPr>
          <w:p w:rsidR="00C50379" w:rsidRPr="00C50379" w:rsidRDefault="00C50379" w:rsidP="00C50379">
            <w:pPr>
              <w:spacing w:after="0" w:line="240" w:lineRule="auto"/>
              <w:jc w:val="center"/>
              <w:rPr>
                <w:rFonts w:ascii="STIX MathJax Main" w:eastAsia="Times New Roman" w:hAnsi="STIX MathJax Main" w:cs="STIX MathJax Main"/>
                <w:sz w:val="18"/>
                <w:szCs w:val="20"/>
              </w:rPr>
            </w:pPr>
            <w:r w:rsidRPr="00C50379">
              <w:rPr>
                <w:rFonts w:ascii="STIX" w:eastAsia="Times New Roman" w:hAnsi="STIX" w:cs="STIX MathJax Main"/>
                <w:sz w:val="18"/>
                <w:szCs w:val="20"/>
              </w:rPr>
              <w:t>5</w:t>
            </w:r>
          </w:p>
        </w:tc>
        <w:tc>
          <w:tcPr>
            <w:tcW w:w="825" w:type="dxa"/>
            <w:tcBorders>
              <w:top w:val="nil"/>
              <w:left w:val="nil"/>
              <w:bottom w:val="nil"/>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1.8</w:t>
            </w:r>
          </w:p>
        </w:tc>
        <w:tc>
          <w:tcPr>
            <w:tcW w:w="960" w:type="dxa"/>
            <w:tcBorders>
              <w:top w:val="nil"/>
              <w:left w:val="nil"/>
              <w:bottom w:val="nil"/>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0.13</w:t>
            </w:r>
          </w:p>
        </w:tc>
        <w:tc>
          <w:tcPr>
            <w:tcW w:w="1095" w:type="dxa"/>
            <w:tcBorders>
              <w:top w:val="nil"/>
              <w:left w:val="nil"/>
              <w:bottom w:val="nil"/>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0.234</w:t>
            </w:r>
          </w:p>
        </w:tc>
      </w:tr>
      <w:tr w:rsidR="00C50379" w:rsidRPr="00C50379" w:rsidTr="00FF7247">
        <w:trPr>
          <w:trHeight w:val="144"/>
        </w:trPr>
        <w:tc>
          <w:tcPr>
            <w:tcW w:w="720" w:type="dxa"/>
            <w:tcBorders>
              <w:top w:val="nil"/>
              <w:left w:val="nil"/>
              <w:right w:val="nil"/>
            </w:tcBorders>
            <w:shd w:val="clear" w:color="auto" w:fill="auto"/>
            <w:noWrap/>
            <w:vAlign w:val="center"/>
          </w:tcPr>
          <w:p w:rsidR="00C50379" w:rsidRPr="00C50379" w:rsidRDefault="00C50379" w:rsidP="00C50379">
            <w:pPr>
              <w:spacing w:after="0" w:line="240" w:lineRule="auto"/>
              <w:jc w:val="center"/>
              <w:rPr>
                <w:rFonts w:ascii="STIX MathJax Main" w:eastAsia="Times New Roman" w:hAnsi="STIX MathJax Main" w:cs="STIX MathJax Main"/>
                <w:sz w:val="18"/>
                <w:szCs w:val="20"/>
              </w:rPr>
            </w:pPr>
            <w:r w:rsidRPr="00C50379">
              <w:rPr>
                <w:rFonts w:ascii="STIX" w:eastAsia="Times New Roman" w:hAnsi="STIX" w:cs="STIX MathJax Main"/>
                <w:sz w:val="18"/>
                <w:szCs w:val="20"/>
              </w:rPr>
              <w:t>6</w:t>
            </w:r>
          </w:p>
        </w:tc>
        <w:tc>
          <w:tcPr>
            <w:tcW w:w="825" w:type="dxa"/>
            <w:tcBorders>
              <w:top w:val="nil"/>
              <w:left w:val="nil"/>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1</w:t>
            </w:r>
          </w:p>
        </w:tc>
        <w:tc>
          <w:tcPr>
            <w:tcW w:w="960" w:type="dxa"/>
            <w:tcBorders>
              <w:top w:val="nil"/>
              <w:left w:val="nil"/>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0.11</w:t>
            </w:r>
          </w:p>
        </w:tc>
        <w:tc>
          <w:tcPr>
            <w:tcW w:w="1095" w:type="dxa"/>
            <w:tcBorders>
              <w:top w:val="nil"/>
              <w:left w:val="nil"/>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0.11</w:t>
            </w:r>
          </w:p>
        </w:tc>
      </w:tr>
      <w:tr w:rsidR="00C50379" w:rsidRPr="00C50379" w:rsidTr="00FF7247">
        <w:trPr>
          <w:trHeight w:val="144"/>
        </w:trPr>
        <w:tc>
          <w:tcPr>
            <w:tcW w:w="720" w:type="dxa"/>
            <w:tcBorders>
              <w:top w:val="nil"/>
              <w:left w:val="nil"/>
              <w:bottom w:val="single" w:sz="12" w:space="0" w:color="auto"/>
              <w:right w:val="nil"/>
            </w:tcBorders>
            <w:shd w:val="clear" w:color="auto" w:fill="auto"/>
            <w:noWrap/>
            <w:vAlign w:val="center"/>
          </w:tcPr>
          <w:p w:rsidR="00C50379" w:rsidRPr="00C50379" w:rsidRDefault="00C50379" w:rsidP="00C50379">
            <w:pPr>
              <w:spacing w:after="0" w:line="240" w:lineRule="auto"/>
              <w:jc w:val="center"/>
              <w:rPr>
                <w:rFonts w:ascii="STIX MathJax Main" w:eastAsia="Times New Roman" w:hAnsi="STIX MathJax Main" w:cs="STIX MathJax Main"/>
                <w:sz w:val="18"/>
                <w:szCs w:val="20"/>
              </w:rPr>
            </w:pPr>
            <w:r w:rsidRPr="00C50379">
              <w:rPr>
                <w:rFonts w:ascii="STIX" w:eastAsia="Times New Roman" w:hAnsi="STIX" w:cs="STIX MathJax Main"/>
                <w:sz w:val="18"/>
                <w:szCs w:val="20"/>
              </w:rPr>
              <w:t>9</w:t>
            </w:r>
          </w:p>
        </w:tc>
        <w:tc>
          <w:tcPr>
            <w:tcW w:w="825" w:type="dxa"/>
            <w:tcBorders>
              <w:top w:val="nil"/>
              <w:left w:val="nil"/>
              <w:bottom w:val="single" w:sz="12" w:space="0" w:color="auto"/>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0.25</w:t>
            </w:r>
          </w:p>
        </w:tc>
        <w:tc>
          <w:tcPr>
            <w:tcW w:w="960" w:type="dxa"/>
            <w:tcBorders>
              <w:top w:val="nil"/>
              <w:left w:val="nil"/>
              <w:bottom w:val="single" w:sz="12" w:space="0" w:color="auto"/>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0.02</w:t>
            </w:r>
          </w:p>
        </w:tc>
        <w:tc>
          <w:tcPr>
            <w:tcW w:w="1095" w:type="dxa"/>
            <w:tcBorders>
              <w:top w:val="nil"/>
              <w:left w:val="nil"/>
              <w:bottom w:val="single" w:sz="12" w:space="0" w:color="auto"/>
              <w:right w:val="nil"/>
            </w:tcBorders>
            <w:shd w:val="clear" w:color="auto" w:fill="auto"/>
            <w:noWrap/>
            <w:vAlign w:val="center"/>
          </w:tcPr>
          <w:p w:rsidR="00C50379" w:rsidRPr="00C50379" w:rsidRDefault="00C50379" w:rsidP="00C50379">
            <w:pPr>
              <w:spacing w:after="0" w:line="240" w:lineRule="auto"/>
              <w:jc w:val="right"/>
              <w:rPr>
                <w:rFonts w:ascii="STIX MathJax Main" w:eastAsia="Times New Roman" w:hAnsi="STIX MathJax Main" w:cs="STIX MathJax Main"/>
                <w:sz w:val="18"/>
                <w:szCs w:val="20"/>
              </w:rPr>
            </w:pPr>
            <w:r w:rsidRPr="00C50379">
              <w:rPr>
                <w:rFonts w:ascii="STIX" w:eastAsia="Times New Roman" w:hAnsi="STIX" w:cs="STIX MathJax Main"/>
                <w:sz w:val="18"/>
                <w:szCs w:val="20"/>
              </w:rPr>
              <w:t>0.005</w:t>
            </w:r>
          </w:p>
        </w:tc>
      </w:tr>
    </w:tbl>
    <w:p w:rsidR="00C50379" w:rsidRPr="00C50379" w:rsidRDefault="00C50379" w:rsidP="00C50379">
      <w:pPr>
        <w:spacing w:after="0" w:line="240" w:lineRule="auto"/>
        <w:rPr>
          <w:rFonts w:ascii="STIX" w:eastAsia="Times New Roman" w:hAnsi="STIX"/>
          <w:sz w:val="20"/>
          <w:szCs w:val="24"/>
        </w:rPr>
      </w:pPr>
    </w:p>
    <w:p w:rsidR="00C50379" w:rsidRPr="00C50379" w:rsidRDefault="00C50379" w:rsidP="00C50379">
      <w:pPr>
        <w:spacing w:after="0" w:line="240" w:lineRule="auto"/>
        <w:rPr>
          <w:rFonts w:ascii="STIX" w:eastAsia="Times New Roman" w:hAnsi="STIX"/>
          <w:sz w:val="20"/>
          <w:szCs w:val="24"/>
        </w:rPr>
      </w:pPr>
      <w:r w:rsidRPr="00C50379">
        <w:rPr>
          <w:rFonts w:ascii="STIX" w:eastAsia="Times New Roman" w:hAnsi="STIX"/>
          <w:sz w:val="20"/>
          <w:szCs w:val="24"/>
        </w:rPr>
        <w:t>The cross-sectional area can be evaluated using a combination of Simpson’s 1</w:t>
      </w:r>
      <w:r w:rsidRPr="00C50379">
        <w:rPr>
          <w:rFonts w:ascii="Courier New" w:eastAsia="Times New Roman" w:hAnsi="Courier New"/>
          <w:sz w:val="20"/>
          <w:szCs w:val="24"/>
        </w:rPr>
        <w:t>/</w:t>
      </w:r>
      <w:r w:rsidRPr="00C50379">
        <w:rPr>
          <w:rFonts w:ascii="STIX" w:eastAsia="Times New Roman" w:hAnsi="STIX"/>
          <w:sz w:val="20"/>
          <w:szCs w:val="24"/>
        </w:rPr>
        <w:t>3 rule and the trapezoidal rule:</w:t>
      </w:r>
    </w:p>
    <w:p w:rsidR="00C50379" w:rsidRPr="00C50379" w:rsidRDefault="00C50379" w:rsidP="00C50379">
      <w:pPr>
        <w:spacing w:after="0" w:line="240" w:lineRule="auto"/>
        <w:rPr>
          <w:rFonts w:ascii="STIX" w:eastAsia="Times New Roman" w:hAnsi="STIX"/>
          <w:sz w:val="20"/>
        </w:rPr>
      </w:pPr>
      <w:r w:rsidRPr="00C50379">
        <w:rPr>
          <w:rFonts w:ascii="STIX" w:eastAsia="Times New Roman" w:hAnsi="STIX"/>
          <w:position w:val="-40"/>
          <w:sz w:val="20"/>
          <w:szCs w:val="24"/>
        </w:rPr>
        <w:object w:dxaOrig="7820"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25" type="#_x0000_t75" style="width:390.75pt;height:45.75pt" o:ole="">
            <v:imagedata r:id="rId8" o:title=""/>
          </v:shape>
          <o:OLEObject Type="Embed" ProgID="Equation.DSMT4" ShapeID="_x0000_i2225" DrawAspect="Content" ObjectID="_1552477416" r:id="rId9"/>
        </w:object>
      </w:r>
    </w:p>
    <w:p w:rsidR="00C50379" w:rsidRPr="00C50379" w:rsidRDefault="00C50379" w:rsidP="00C50379">
      <w:pPr>
        <w:spacing w:after="0" w:line="240" w:lineRule="auto"/>
        <w:rPr>
          <w:rFonts w:ascii="STIX" w:eastAsia="Times New Roman" w:hAnsi="STIX"/>
          <w:sz w:val="20"/>
          <w:szCs w:val="24"/>
        </w:rPr>
      </w:pPr>
    </w:p>
    <w:p w:rsidR="00C50379" w:rsidRPr="00C50379" w:rsidRDefault="00C50379" w:rsidP="00C50379">
      <w:pPr>
        <w:spacing w:after="0" w:line="240" w:lineRule="auto"/>
        <w:rPr>
          <w:rFonts w:ascii="STIX" w:eastAsia="Times New Roman" w:hAnsi="STIX"/>
          <w:sz w:val="20"/>
          <w:szCs w:val="24"/>
        </w:rPr>
      </w:pPr>
      <w:r w:rsidRPr="00C50379">
        <w:rPr>
          <w:rFonts w:ascii="STIX" w:eastAsia="Times New Roman" w:hAnsi="STIX"/>
          <w:sz w:val="20"/>
          <w:szCs w:val="24"/>
        </w:rPr>
        <w:t>The flow can be evaluated in a similar fashion:</w:t>
      </w:r>
    </w:p>
    <w:p w:rsidR="00C50379" w:rsidRPr="00C50379" w:rsidRDefault="00C50379" w:rsidP="00C50379">
      <w:pPr>
        <w:spacing w:after="0" w:line="240" w:lineRule="auto"/>
        <w:rPr>
          <w:rFonts w:ascii="STIX" w:eastAsia="Times New Roman" w:hAnsi="STIX"/>
          <w:sz w:val="20"/>
          <w:szCs w:val="24"/>
        </w:rPr>
      </w:pPr>
    </w:p>
    <w:p w:rsidR="00C50379" w:rsidRPr="00C50379" w:rsidRDefault="00C50379" w:rsidP="00C50379">
      <w:pPr>
        <w:spacing w:after="0" w:line="240" w:lineRule="auto"/>
        <w:rPr>
          <w:rFonts w:ascii="STIX" w:eastAsia="Times New Roman" w:hAnsi="STIX"/>
          <w:sz w:val="20"/>
        </w:rPr>
      </w:pPr>
      <w:r w:rsidRPr="00C50379">
        <w:rPr>
          <w:rFonts w:ascii="STIX" w:eastAsia="Times New Roman" w:hAnsi="STIX"/>
          <w:position w:val="-56"/>
          <w:sz w:val="20"/>
          <w:szCs w:val="24"/>
        </w:rPr>
        <w:object w:dxaOrig="8840" w:dyaOrig="1240">
          <v:shape id="_x0000_i2226" type="#_x0000_t75" style="width:441.75pt;height:62.25pt" o:ole="">
            <v:imagedata r:id="rId10" o:title=""/>
          </v:shape>
          <o:OLEObject Type="Embed" ProgID="Equation.DSMT4" ShapeID="_x0000_i2226" DrawAspect="Content" ObjectID="_1552477417" r:id="rId11"/>
        </w:object>
      </w:r>
    </w:p>
    <w:p w:rsidR="00600E9B" w:rsidRPr="00600E9B" w:rsidRDefault="00600E9B" w:rsidP="00C50379">
      <w:pPr>
        <w:spacing w:after="0" w:line="240" w:lineRule="auto"/>
        <w:ind w:left="360" w:hanging="360"/>
        <w:rPr>
          <w:rFonts w:ascii="Courier New" w:eastAsia="Times New Roman" w:hAnsi="Courier New" w:cs="Courier New"/>
          <w:sz w:val="18"/>
          <w:szCs w:val="24"/>
        </w:rPr>
      </w:pPr>
    </w:p>
    <w:sectPr w:rsidR="00600E9B" w:rsidRPr="00600E9B"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1EC1C-5A25-4151-AC9D-EDF5F61CD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373</Characters>
  <Application>Microsoft Office Word</Application>
  <DocSecurity>0</DocSecurity>
  <Lines>3</Lines>
  <Paragraphs>1</Paragraphs>
  <ScaleCrop>false</ScaleCrop>
  <Company/>
  <LinksUpToDate>false</LinksUpToDate>
  <CharactersWithSpaces>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2017-03-31T17:02:00Z</dcterms:created>
  <dcterms:modified xsi:type="dcterms:W3CDTF">2017-03-31T17:02:00Z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