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E6E37" w:rsidRDefault="00512B6C" w:rsidP="00BE6E37">
      <w:pPr>
        <w:pStyle w:val="Default"/>
        <w:ind w:right="-450"/>
        <w:rPr>
          <w:b/>
        </w:rPr>
      </w:pPr>
      <w:r w:rsidRPr="00BE6E37">
        <w:rPr>
          <w:b/>
        </w:rPr>
        <w:t xml:space="preserve">Problem </w:t>
      </w:r>
      <w:r w:rsidR="00BE6E37" w:rsidRPr="00BE6E37">
        <w:rPr>
          <w:b/>
        </w:rPr>
        <w:t>20.5</w:t>
      </w:r>
    </w:p>
    <w:p w:rsidR="00BE6E37" w:rsidRPr="00BE6E37" w:rsidRDefault="00BE6E37" w:rsidP="00BE6E37">
      <w:pPr>
        <w:autoSpaceDE w:val="0"/>
        <w:autoSpaceDN w:val="0"/>
        <w:adjustRightInd w:val="0"/>
        <w:spacing w:after="0" w:line="240" w:lineRule="auto"/>
        <w:rPr>
          <w:rFonts w:ascii="STIX" w:hAnsi="STIX" w:cs="STIX"/>
          <w:color w:val="000000"/>
          <w:sz w:val="24"/>
          <w:szCs w:val="24"/>
        </w:rPr>
      </w:pPr>
    </w:p>
    <w:p w:rsidR="00BE6E37" w:rsidRPr="00BE6E37" w:rsidRDefault="00BE6E37" w:rsidP="00BE6E37">
      <w:pPr>
        <w:autoSpaceDE w:val="0"/>
        <w:autoSpaceDN w:val="0"/>
        <w:adjustRightInd w:val="0"/>
        <w:spacing w:after="0" w:line="180" w:lineRule="atLeast"/>
        <w:rPr>
          <w:rFonts w:ascii="STIX" w:hAnsi="STIX" w:cs="STIX"/>
          <w:color w:val="211D1E"/>
          <w:sz w:val="24"/>
          <w:szCs w:val="18"/>
        </w:rPr>
      </w:pPr>
      <w:r w:rsidRPr="00BE6E37">
        <w:rPr>
          <w:rFonts w:ascii="STIX" w:hAnsi="STIX" w:cs="STIX"/>
          <w:color w:val="211D1E"/>
          <w:sz w:val="24"/>
          <w:szCs w:val="18"/>
        </w:rPr>
        <w:t xml:space="preserve">The force on a sailboat mast can be represented by the following function: </w:t>
      </w:r>
    </w:p>
    <w:p w:rsidR="00BE6E37" w:rsidRDefault="00BE6E37" w:rsidP="00BE6E37">
      <w:pPr>
        <w:autoSpaceDE w:val="0"/>
        <w:autoSpaceDN w:val="0"/>
        <w:adjustRightInd w:val="0"/>
        <w:spacing w:after="0" w:line="240" w:lineRule="auto"/>
        <w:rPr>
          <w:rFonts w:ascii="STIX" w:eastAsia="STIXGeneral" w:hAnsi="STIX" w:cs="STIX"/>
          <w:color w:val="211D1E"/>
          <w:sz w:val="24"/>
          <w:szCs w:val="18"/>
        </w:rPr>
      </w:pPr>
    </w:p>
    <w:p w:rsidR="00BE6E37" w:rsidRDefault="00BE6E37" w:rsidP="00BE6E37">
      <w:pPr>
        <w:autoSpaceDE w:val="0"/>
        <w:autoSpaceDN w:val="0"/>
        <w:adjustRightInd w:val="0"/>
        <w:spacing w:after="0" w:line="240" w:lineRule="auto"/>
        <w:jc w:val="center"/>
        <w:rPr>
          <w:rFonts w:ascii="STIX" w:eastAsia="STIXGeneral" w:hAnsi="STIX" w:cs="STIX"/>
          <w:color w:val="211D1E"/>
          <w:sz w:val="24"/>
          <w:szCs w:val="18"/>
        </w:rPr>
      </w:pPr>
      <w:r w:rsidRPr="00BE6E37">
        <w:rPr>
          <w:rFonts w:ascii="STIX" w:eastAsia="STIXGeneral" w:hAnsi="STIX" w:cs="STIX"/>
          <w:color w:val="211D1E"/>
          <w:position w:val="-30"/>
          <w:sz w:val="24"/>
          <w:szCs w:val="18"/>
        </w:rPr>
        <w:object w:dxaOrig="2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2in;height:36pt" o:ole="">
            <v:imagedata r:id="rId7" o:title=""/>
          </v:shape>
          <o:OLEObject Type="Embed" ProgID="Equation.DSMT4" ShapeID="_x0000_i1394" DrawAspect="Content" ObjectID="_1551504965" r:id="rId8"/>
        </w:object>
      </w:r>
      <w:r>
        <w:rPr>
          <w:rFonts w:ascii="STIX" w:eastAsia="STIXGeneral" w:hAnsi="STIX" w:cs="STIX"/>
          <w:color w:val="211D1E"/>
          <w:sz w:val="24"/>
          <w:szCs w:val="18"/>
        </w:rPr>
        <w:t xml:space="preserve"> </w:t>
      </w:r>
    </w:p>
    <w:p w:rsidR="00BE6E37" w:rsidRDefault="00BE6E37" w:rsidP="00BE6E37">
      <w:pPr>
        <w:autoSpaceDE w:val="0"/>
        <w:autoSpaceDN w:val="0"/>
        <w:adjustRightInd w:val="0"/>
        <w:spacing w:after="0" w:line="240" w:lineRule="auto"/>
        <w:jc w:val="center"/>
        <w:rPr>
          <w:rFonts w:ascii="STIX" w:eastAsia="STIXGeneral" w:hAnsi="STIX" w:cs="STIX"/>
          <w:color w:val="211D1E"/>
          <w:sz w:val="24"/>
          <w:szCs w:val="18"/>
        </w:rPr>
      </w:pPr>
    </w:p>
    <w:p w:rsidR="00BE6E37" w:rsidRDefault="00BE6E37" w:rsidP="00BE6E37">
      <w:pPr>
        <w:autoSpaceDE w:val="0"/>
        <w:autoSpaceDN w:val="0"/>
        <w:adjustRightInd w:val="0"/>
        <w:spacing w:after="0" w:line="240" w:lineRule="auto"/>
        <w:rPr>
          <w:rFonts w:ascii="STIX" w:eastAsia="STIXGeneral" w:hAnsi="STIX" w:cs="STIX"/>
          <w:color w:val="211D1E"/>
          <w:sz w:val="24"/>
          <w:szCs w:val="18"/>
        </w:rPr>
      </w:pPr>
      <w:r w:rsidRPr="00BE6E37">
        <w:rPr>
          <w:rFonts w:ascii="STIX" w:eastAsia="STIXGeneral" w:hAnsi="STIX" w:cs="STIX"/>
          <w:color w:val="211D1E"/>
          <w:sz w:val="24"/>
          <w:szCs w:val="18"/>
        </w:rPr>
        <w:t xml:space="preserve">where </w:t>
      </w:r>
      <w:r w:rsidRPr="00BE6E37">
        <w:rPr>
          <w:rFonts w:ascii="STIX" w:eastAsia="STIXGeneral" w:hAnsi="STIX" w:cs="STIX"/>
          <w:i/>
          <w:iCs/>
          <w:color w:val="211D1E"/>
          <w:sz w:val="24"/>
          <w:szCs w:val="18"/>
        </w:rPr>
        <w:t xml:space="preserve">z </w:t>
      </w:r>
      <w:r w:rsidRPr="00BE6E37">
        <w:rPr>
          <w:rFonts w:ascii="STIX" w:eastAsia="STIXGeneral" w:hAnsi="STIX" w:cs="STIX"/>
          <w:color w:val="211D1E"/>
          <w:sz w:val="24"/>
          <w:szCs w:val="18"/>
        </w:rPr>
        <w:t xml:space="preserve">= the elevation above the deck and </w:t>
      </w:r>
      <w:r w:rsidRPr="00BE6E37">
        <w:rPr>
          <w:rFonts w:ascii="STIX" w:eastAsia="STIXGeneral" w:hAnsi="STIX" w:cs="STIX"/>
          <w:i/>
          <w:iCs/>
          <w:color w:val="211D1E"/>
          <w:sz w:val="24"/>
          <w:szCs w:val="18"/>
        </w:rPr>
        <w:t xml:space="preserve">H </w:t>
      </w:r>
      <w:r w:rsidRPr="00BE6E37">
        <w:rPr>
          <w:rFonts w:ascii="STIX" w:eastAsia="STIXGeneral" w:hAnsi="STIX" w:cs="STIX"/>
          <w:color w:val="211D1E"/>
          <w:sz w:val="24"/>
          <w:szCs w:val="18"/>
        </w:rPr>
        <w:t xml:space="preserve">= the height of the mast. Compute </w:t>
      </w:r>
      <w:r w:rsidRPr="00BE6E37">
        <w:rPr>
          <w:rFonts w:ascii="STIX" w:eastAsia="STIXGeneral" w:hAnsi="STIX" w:cs="STIX"/>
          <w:i/>
          <w:iCs/>
          <w:color w:val="211D1E"/>
          <w:sz w:val="24"/>
          <w:szCs w:val="18"/>
        </w:rPr>
        <w:t xml:space="preserve">F </w:t>
      </w:r>
      <w:r w:rsidRPr="00BE6E37">
        <w:rPr>
          <w:rFonts w:ascii="STIX" w:eastAsia="STIXGeneral" w:hAnsi="STIX" w:cs="STIX"/>
          <w:color w:val="211D1E"/>
          <w:sz w:val="24"/>
          <w:szCs w:val="18"/>
        </w:rPr>
        <w:t xml:space="preserve">for the case where </w:t>
      </w:r>
      <w:r w:rsidRPr="00BE6E37">
        <w:rPr>
          <w:rFonts w:ascii="STIX" w:eastAsia="STIXGeneral" w:hAnsi="STIX" w:cs="STIX"/>
          <w:i/>
          <w:iCs/>
          <w:color w:val="211D1E"/>
          <w:sz w:val="24"/>
          <w:szCs w:val="18"/>
        </w:rPr>
        <w:t xml:space="preserve">H </w:t>
      </w:r>
      <w:r w:rsidRPr="00BE6E37">
        <w:rPr>
          <w:rFonts w:ascii="STIX" w:eastAsia="STIXGeneral" w:hAnsi="STIX" w:cs="STIX"/>
          <w:color w:val="211D1E"/>
          <w:sz w:val="24"/>
          <w:szCs w:val="18"/>
        </w:rPr>
        <w:t xml:space="preserve">= 30 using </w:t>
      </w:r>
    </w:p>
    <w:p w:rsidR="00BE6E37" w:rsidRDefault="00BE6E37" w:rsidP="00BE6E37">
      <w:pPr>
        <w:autoSpaceDE w:val="0"/>
        <w:autoSpaceDN w:val="0"/>
        <w:adjustRightInd w:val="0"/>
        <w:spacing w:after="0" w:line="240" w:lineRule="auto"/>
        <w:rPr>
          <w:rFonts w:ascii="STIX" w:eastAsia="STIXGeneral" w:hAnsi="STIX" w:cs="STIX"/>
          <w:color w:val="211D1E"/>
          <w:sz w:val="24"/>
          <w:szCs w:val="18"/>
        </w:rPr>
      </w:pPr>
    </w:p>
    <w:p w:rsidR="00BE6E37" w:rsidRDefault="00BE6E37" w:rsidP="00BE6E37">
      <w:pPr>
        <w:autoSpaceDE w:val="0"/>
        <w:autoSpaceDN w:val="0"/>
        <w:adjustRightInd w:val="0"/>
        <w:spacing w:after="0" w:line="240" w:lineRule="auto"/>
        <w:rPr>
          <w:rFonts w:ascii="STIX" w:eastAsia="STIXGeneral" w:hAnsi="STIX" w:cs="STIX"/>
          <w:color w:val="211D1E"/>
          <w:sz w:val="24"/>
          <w:szCs w:val="18"/>
        </w:rPr>
      </w:pPr>
      <w:r w:rsidRPr="00BE6E37">
        <w:rPr>
          <w:rFonts w:ascii="STIX" w:eastAsia="STIXGeneral" w:hAnsi="STIX" w:cs="STIX"/>
          <w:b/>
          <w:bCs/>
          <w:color w:val="211D1E"/>
          <w:sz w:val="24"/>
          <w:szCs w:val="18"/>
        </w:rPr>
        <w:t xml:space="preserve">(a) </w:t>
      </w:r>
      <w:r w:rsidRPr="00BE6E37">
        <w:rPr>
          <w:rFonts w:ascii="STIX" w:eastAsia="STIXGeneral" w:hAnsi="STIX" w:cs="STIX"/>
          <w:color w:val="211D1E"/>
          <w:sz w:val="24"/>
          <w:szCs w:val="18"/>
        </w:rPr>
        <w:t xml:space="preserve">Romberg integration to a tolerance of </w:t>
      </w:r>
      <w:r w:rsidRPr="00BE6E37">
        <w:rPr>
          <w:rFonts w:ascii="STIX" w:eastAsia="STIXGeneral" w:hAnsi="STIX" w:cs="STIX"/>
          <w:i/>
          <w:iCs/>
          <w:color w:val="211D1E"/>
          <w:sz w:val="24"/>
          <w:szCs w:val="18"/>
        </w:rPr>
        <w:t>ε</w:t>
      </w:r>
      <w:r w:rsidRPr="00BE6E37">
        <w:rPr>
          <w:rFonts w:ascii="STIX" w:eastAsia="STIXGeneral" w:hAnsi="STIX" w:cs="STIX"/>
          <w:i/>
          <w:iCs/>
          <w:color w:val="211D1E"/>
          <w:sz w:val="32"/>
          <w:vertAlign w:val="subscript"/>
        </w:rPr>
        <w:t xml:space="preserve">s </w:t>
      </w:r>
      <w:r w:rsidRPr="00BE6E37">
        <w:rPr>
          <w:rFonts w:ascii="STIX" w:eastAsia="STIXGeneral" w:hAnsi="STIX" w:cs="STIX"/>
          <w:color w:val="211D1E"/>
          <w:sz w:val="24"/>
          <w:szCs w:val="18"/>
        </w:rPr>
        <w:t xml:space="preserve">= 0.5%, </w:t>
      </w:r>
    </w:p>
    <w:p w:rsidR="00BE6E37" w:rsidRDefault="00BE6E37" w:rsidP="00BE6E37">
      <w:pPr>
        <w:autoSpaceDE w:val="0"/>
        <w:autoSpaceDN w:val="0"/>
        <w:adjustRightInd w:val="0"/>
        <w:spacing w:after="0" w:line="240" w:lineRule="auto"/>
        <w:rPr>
          <w:rFonts w:ascii="STIX" w:eastAsia="STIXGeneral" w:hAnsi="STIX" w:cs="STIX"/>
          <w:color w:val="211D1E"/>
          <w:sz w:val="24"/>
          <w:szCs w:val="18"/>
        </w:rPr>
      </w:pPr>
      <w:r w:rsidRPr="00BE6E37">
        <w:rPr>
          <w:rFonts w:ascii="STIX" w:eastAsia="STIXGeneral" w:hAnsi="STIX" w:cs="STIX"/>
          <w:b/>
          <w:bCs/>
          <w:color w:val="211D1E"/>
          <w:sz w:val="24"/>
          <w:szCs w:val="18"/>
        </w:rPr>
        <w:t xml:space="preserve">(b) </w:t>
      </w:r>
      <w:r w:rsidRPr="00BE6E37">
        <w:rPr>
          <w:rFonts w:ascii="STIX" w:eastAsia="STIXGeneral" w:hAnsi="STIX" w:cs="STIX"/>
          <w:color w:val="211D1E"/>
          <w:sz w:val="24"/>
          <w:szCs w:val="18"/>
        </w:rPr>
        <w:t xml:space="preserve">the two-point Gauss- Legendre formula, and </w:t>
      </w:r>
    </w:p>
    <w:p w:rsidR="000C3025" w:rsidRPr="00BE6E37" w:rsidRDefault="00BE6E37" w:rsidP="00BE6E37">
      <w:pPr>
        <w:autoSpaceDE w:val="0"/>
        <w:autoSpaceDN w:val="0"/>
        <w:adjustRightInd w:val="0"/>
        <w:spacing w:after="0" w:line="240" w:lineRule="auto"/>
        <w:rPr>
          <w:rFonts w:ascii="STIX" w:hAnsi="STIX" w:cs="STIX"/>
          <w:i/>
          <w:iCs/>
          <w:color w:val="211D1E"/>
          <w:sz w:val="24"/>
          <w:szCs w:val="18"/>
        </w:rPr>
      </w:pPr>
      <w:r w:rsidRPr="00BE6E37">
        <w:rPr>
          <w:rFonts w:ascii="STIX" w:eastAsia="STIXGeneral" w:hAnsi="STIX" w:cs="STIX"/>
          <w:b/>
          <w:bCs/>
          <w:color w:val="211D1E"/>
          <w:sz w:val="24"/>
          <w:szCs w:val="18"/>
        </w:rPr>
        <w:t xml:space="preserve">(c) </w:t>
      </w:r>
      <w:r w:rsidRPr="00BE6E37">
        <w:rPr>
          <w:rFonts w:ascii="STIX" w:eastAsia="STIXGeneral" w:hAnsi="STIX" w:cs="STIX"/>
          <w:color w:val="211D1E"/>
          <w:sz w:val="24"/>
          <w:szCs w:val="18"/>
        </w:rPr>
        <w:t xml:space="preserve">the MATLAB </w:t>
      </w:r>
      <w:r w:rsidRPr="00BE6E37">
        <w:rPr>
          <w:rFonts w:ascii="STIX" w:eastAsia="STIXGeneral" w:hAnsi="STIX" w:cs="STIX"/>
          <w:color w:val="211D1E"/>
          <w:sz w:val="24"/>
          <w:szCs w:val="16"/>
        </w:rPr>
        <w:t xml:space="preserve">integral </w:t>
      </w:r>
      <w:r w:rsidRPr="00BE6E37">
        <w:rPr>
          <w:rFonts w:ascii="STIX" w:eastAsia="STIXGeneral" w:hAnsi="STIX" w:cs="STIX"/>
          <w:color w:val="211D1E"/>
          <w:sz w:val="24"/>
          <w:szCs w:val="18"/>
        </w:rPr>
        <w:t xml:space="preserve">function. </w:t>
      </w:r>
    </w:p>
    <w:sectPr w:rsidR="000C3025" w:rsidRPr="00BE6E37"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318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2017-03-20T14:41:00Z</dcterms:created>
  <dcterms:modified xsi:type="dcterms:W3CDTF">2017-03-20T14:41:00Z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